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Default="004B7252" w:rsidP="00EB35F9">
      <w:pPr>
        <w:ind w:left="-450" w:hanging="270"/>
        <w:contextualSpacing/>
        <w:rPr>
          <w:rFonts w:ascii="Poppins" w:hAnsi="Poppins" w:cs="Poppins"/>
          <w:bCs/>
          <w:color w:val="1B296A"/>
          <w:sz w:val="32"/>
          <w:szCs w:val="36"/>
        </w:rPr>
      </w:pPr>
      <w:r w:rsidRPr="00A40D8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21C70874" w:rsidR="004B7252" w:rsidRPr="004B7252" w:rsidRDefault="005D188E" w:rsidP="004B7252">
                            <w:pPr>
                              <w:jc w:val="center"/>
                              <w:rPr>
                                <w:rFonts w:ascii="Poppins" w:hAnsi="Poppins" w:cs="Poppins"/>
                                <w:sz w:val="40"/>
                                <w:szCs w:val="40"/>
                              </w:rPr>
                            </w:pPr>
                            <w:r w:rsidRPr="005D188E">
                              <w:rPr>
                                <w:rFonts w:ascii="Poppins" w:hAnsi="Poppins" w:cs="Poppins"/>
                                <w:sz w:val="40"/>
                                <w:szCs w:val="40"/>
                              </w:rPr>
                              <w:t>NTx Serum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21C70874" w:rsidR="004B7252" w:rsidRPr="004B7252" w:rsidRDefault="005D188E" w:rsidP="004B7252">
                      <w:pPr>
                        <w:jc w:val="center"/>
                        <w:rPr>
                          <w:rFonts w:ascii="Poppins" w:hAnsi="Poppins" w:cs="Poppins"/>
                          <w:sz w:val="40"/>
                          <w:szCs w:val="40"/>
                        </w:rPr>
                      </w:pPr>
                      <w:r w:rsidRPr="005D188E">
                        <w:rPr>
                          <w:rFonts w:ascii="Poppins" w:hAnsi="Poppins" w:cs="Poppins"/>
                          <w:sz w:val="40"/>
                          <w:szCs w:val="40"/>
                        </w:rPr>
                        <w:t>NTx Serum</w:t>
                      </w:r>
                    </w:p>
                  </w:txbxContent>
                </v:textbox>
              </v:shape>
            </w:pict>
          </mc:Fallback>
        </mc:AlternateContent>
      </w:r>
      <w:r w:rsidR="00EE0E1B" w:rsidRPr="00EB35F9">
        <w:rPr>
          <w:rFonts w:ascii="Poppins" w:hAnsi="Poppins" w:cs="Poppins"/>
          <w:b/>
          <w:i/>
          <w:color w:val="320071"/>
          <w:sz w:val="32"/>
          <w:szCs w:val="32"/>
        </w:rPr>
        <w:t xml:space="preserve">            </w:t>
      </w:r>
      <w:r w:rsidR="007A21C6" w:rsidRPr="00EB35F9">
        <w:rPr>
          <w:rFonts w:ascii="Poppins" w:hAnsi="Poppins" w:cs="Poppins"/>
          <w:b/>
          <w:i/>
          <w:color w:val="320071"/>
          <w:sz w:val="32"/>
          <w:szCs w:val="32"/>
        </w:rPr>
        <w:t xml:space="preserve">         </w:t>
      </w:r>
      <w:r w:rsidR="000E6F45" w:rsidRPr="00EB35F9">
        <w:rPr>
          <w:rFonts w:ascii="Poppins" w:hAnsi="Poppins" w:cs="Poppins"/>
          <w:b/>
          <w:i/>
          <w:color w:val="320071"/>
          <w:sz w:val="32"/>
          <w:szCs w:val="32"/>
        </w:rPr>
        <w:t xml:space="preserve">   </w:t>
      </w:r>
      <w:r w:rsidR="0070213F" w:rsidRPr="00EB35F9">
        <w:rPr>
          <w:rFonts w:ascii="Poppins" w:hAnsi="Poppins" w:cs="Poppins"/>
          <w:b/>
          <w:i/>
          <w:color w:val="320071"/>
          <w:sz w:val="32"/>
          <w:szCs w:val="32"/>
        </w:rPr>
        <w:t xml:space="preserve">       </w:t>
      </w:r>
    </w:p>
    <w:p w14:paraId="543D1FEC" w14:textId="7B345FE9" w:rsidR="00EB35F9" w:rsidRDefault="00100C23" w:rsidP="00EB35F9">
      <w:pPr>
        <w:ind w:left="-450" w:hanging="270"/>
        <w:contextualSpacing/>
        <w:rPr>
          <w:rFonts w:ascii="Poppins" w:hAnsi="Poppins" w:cs="Poppins"/>
          <w:bCs/>
          <w:color w:val="1B296A"/>
          <w:sz w:val="32"/>
          <w:szCs w:val="36"/>
        </w:rPr>
      </w:pPr>
      <w:r>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48C9C51A">
                <wp:simplePos x="0" y="0"/>
                <wp:positionH relativeFrom="column">
                  <wp:posOffset>742950</wp:posOffset>
                </wp:positionH>
                <wp:positionV relativeFrom="paragraph">
                  <wp:posOffset>152400</wp:posOffset>
                </wp:positionV>
                <wp:extent cx="1647825" cy="3714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371475"/>
                        </a:xfrm>
                        <a:prstGeom prst="rect">
                          <a:avLst/>
                        </a:prstGeom>
                        <a:noFill/>
                        <a:ln w="6350">
                          <a:noFill/>
                        </a:ln>
                      </wps:spPr>
                      <wps:txbx>
                        <w:txbxContent>
                          <w:p w14:paraId="7980FC29" w14:textId="4F241FFA" w:rsidR="00EB35F9" w:rsidRPr="00FE4711" w:rsidRDefault="005D188E" w:rsidP="00EB35F9">
                            <w:pPr>
                              <w:rPr>
                                <w:rFonts w:ascii="Poppins" w:hAnsi="Poppins" w:cs="Poppins"/>
                                <w:b/>
                                <w:bCs/>
                                <w:sz w:val="28"/>
                                <w:szCs w:val="28"/>
                              </w:rPr>
                            </w:pPr>
                            <w:bookmarkStart w:id="0" w:name="_Hlk213927946"/>
                            <w:bookmarkStart w:id="1" w:name="_Hlk213927947"/>
                            <w:r w:rsidRPr="005D188E">
                              <w:rPr>
                                <w:rFonts w:ascii="Poppins" w:hAnsi="Poppins" w:cs="Poppins"/>
                                <w:b/>
                                <w:bCs/>
                                <w:sz w:val="28"/>
                                <w:szCs w:val="28"/>
                              </w:rPr>
                              <w:t>NTx9021</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8" type="#_x0000_t202" style="position:absolute;left:0;text-align:left;margin-left:58.5pt;margin-top:12pt;width:129.7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" filled="f" stroked="f" strokeweight=".5pt">
                <v:textbox inset="0,0,0,0">
                  <w:txbxContent>
                    <w:p w14:paraId="7980FC29" w14:textId="4F241FFA" w:rsidR="00EB35F9" w:rsidRPr="00FE4711" w:rsidRDefault="005D188E" w:rsidP="00EB35F9">
                      <w:pPr>
                        <w:rPr>
                          <w:rFonts w:ascii="Poppins" w:hAnsi="Poppins" w:cs="Poppins"/>
                          <w:b/>
                          <w:bCs/>
                          <w:sz w:val="28"/>
                          <w:szCs w:val="28"/>
                        </w:rPr>
                      </w:pPr>
                      <w:bookmarkStart w:id="2" w:name="_Hlk213927946"/>
                      <w:bookmarkStart w:id="3" w:name="_Hlk213927947"/>
                      <w:r w:rsidRPr="005D188E">
                        <w:rPr>
                          <w:rFonts w:ascii="Poppins" w:hAnsi="Poppins" w:cs="Poppins"/>
                          <w:b/>
                          <w:bCs/>
                          <w:sz w:val="28"/>
                          <w:szCs w:val="28"/>
                        </w:rPr>
                        <w:t>NTx9021</w:t>
                      </w:r>
                      <w:bookmarkEnd w:id="2"/>
                      <w:bookmarkEnd w:id="3"/>
                    </w:p>
                  </w:txbxContent>
                </v:textbox>
              </v:shape>
            </w:pict>
          </mc:Fallback>
        </mc:AlternateContent>
      </w:r>
      <w:r w:rsidR="00852A01">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74D1A16F">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4B7252" w:rsidRPr="00B84524">
        <w:rPr>
          <w:rFonts w:ascii="Poppins" w:hAnsi="Poppins" w:cs="Poppins"/>
          <w:noProof/>
          <w:sz w:val="30"/>
          <w:szCs w:val="30"/>
        </w:rPr>
        <w:drawing>
          <wp:anchor distT="0" distB="0" distL="114300" distR="114300" simplePos="0" relativeHeight="251721728" behindDoc="0" locked="0" layoutInCell="1" allowOverlap="1" wp14:anchorId="02330B49" wp14:editId="6177DBE6">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B8452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B33D9F" w:rsidRPr="007A1BFE" w14:paraId="535C27FB" w14:textId="77777777" w:rsidTr="00600319">
        <w:trPr>
          <w:trHeight w:val="53"/>
        </w:trPr>
        <w:tc>
          <w:tcPr>
            <w:tcW w:w="2500" w:type="pct"/>
            <w:tcBorders>
              <w:top w:val="single" w:sz="4" w:space="0" w:color="auto"/>
              <w:left w:val="single" w:sz="4" w:space="0" w:color="auto"/>
              <w:bottom w:val="single" w:sz="4" w:space="0" w:color="auto"/>
              <w:right w:val="single" w:sz="4" w:space="0" w:color="auto"/>
            </w:tcBorders>
          </w:tcPr>
          <w:p w14:paraId="106F61DF" w14:textId="77777777" w:rsidR="00B33D9F" w:rsidRPr="007A1BFE" w:rsidRDefault="00B33D9F" w:rsidP="00600319">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C0A5499" w14:textId="77777777" w:rsidR="00B33D9F" w:rsidRPr="007A1BFE" w:rsidRDefault="00B33D9F" w:rsidP="00600319">
            <w:pPr>
              <w:jc w:val="center"/>
              <w:rPr>
                <w:rFonts w:ascii="Poppins" w:hAnsi="Poppins" w:cs="Poppins"/>
              </w:rPr>
            </w:pPr>
            <w:r w:rsidRPr="007A1BFE">
              <w:rPr>
                <w:rFonts w:ascii="Poppins" w:hAnsi="Poppins" w:cs="Poppins"/>
              </w:rPr>
              <w:t>Date</w:t>
            </w:r>
          </w:p>
        </w:tc>
      </w:tr>
      <w:tr w:rsidR="00B33D9F" w:rsidRPr="007A1BFE" w14:paraId="33EAE4CD" w14:textId="77777777" w:rsidTr="00600319">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1769D15" w14:textId="77777777" w:rsidR="00B33D9F" w:rsidRPr="007A1BFE" w:rsidRDefault="00B33D9F" w:rsidP="00600319">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E74DA64" w14:textId="77777777" w:rsidR="00B33D9F" w:rsidRPr="007A1BFE" w:rsidRDefault="00B33D9F" w:rsidP="00600319">
            <w:pPr>
              <w:keepNext/>
              <w:jc w:val="center"/>
              <w:outlineLvl w:val="5"/>
              <w:rPr>
                <w:rFonts w:ascii="Poppins" w:hAnsi="Poppins" w:cs="Poppins"/>
                <w:sz w:val="26"/>
              </w:rPr>
            </w:pPr>
          </w:p>
        </w:tc>
      </w:tr>
    </w:tbl>
    <w:p w14:paraId="7F76C082" w14:textId="287CD691" w:rsidR="00C17799" w:rsidRPr="00EB35F9" w:rsidRDefault="00C17799" w:rsidP="00F46318">
      <w:pPr>
        <w:spacing w:before="240"/>
        <w:rPr>
          <w:rFonts w:ascii="Poppins" w:hAnsi="Poppins" w:cs="Poppins"/>
          <w:b/>
          <w:color w:val="E36C0A" w:themeColor="accent6" w:themeShade="BF"/>
        </w:rPr>
      </w:pPr>
      <w:r w:rsidRPr="00EB35F9">
        <w:rPr>
          <w:rFonts w:ascii="Poppins" w:hAnsi="Poppins" w:cs="Poppins"/>
          <w:b/>
          <w:color w:val="E36C0A" w:themeColor="accent6" w:themeShade="BF"/>
        </w:rPr>
        <w:t>PRINCIPLE OF THE ASSAY</w:t>
      </w:r>
    </w:p>
    <w:p w14:paraId="061C3FF4" w14:textId="13BE5B1B" w:rsidR="00742F52" w:rsidRPr="00B33D9F" w:rsidRDefault="0017478D" w:rsidP="00B33D9F">
      <w:pPr>
        <w:rPr>
          <w:rFonts w:ascii="Poppins" w:hAnsi="Poppins" w:cs="Poppins"/>
          <w:sz w:val="16"/>
          <w:szCs w:val="16"/>
        </w:rPr>
      </w:pPr>
      <w:r w:rsidRPr="00422FBD">
        <w:rPr>
          <w:rFonts w:ascii="Poppins" w:hAnsi="Poppins" w:cs="Poppins"/>
          <w:sz w:val="16"/>
          <w:szCs w:val="16"/>
        </w:rPr>
        <w:t xml:space="preserve">The </w:t>
      </w:r>
      <w:r w:rsidR="004324C3">
        <w:rPr>
          <w:rFonts w:ascii="Poppins" w:hAnsi="Poppins" w:cs="Poppins"/>
          <w:sz w:val="16"/>
          <w:szCs w:val="16"/>
        </w:rPr>
        <w:t>NTx Serum</w:t>
      </w:r>
      <w:r w:rsidRPr="00422FBD">
        <w:rPr>
          <w:rFonts w:ascii="Poppins" w:hAnsi="Poppins" w:cs="Poppins"/>
          <w:sz w:val="16"/>
          <w:szCs w:val="16"/>
        </w:rPr>
        <w:t xml:space="preserve"> assay is a competitive-inhibition enzyme-linked immunosorbent assay (ELISA/EIA) for quantitative determination of NTx in human serum.</w:t>
      </w:r>
      <w:r>
        <w:rPr>
          <w:rFonts w:ascii="Poppins" w:hAnsi="Poppins" w:cs="Poppins"/>
          <w:sz w:val="16"/>
          <w:szCs w:val="16"/>
        </w:rPr>
        <w:t xml:space="preserve">  </w:t>
      </w:r>
      <w:r w:rsidRPr="00422FBD">
        <w:rPr>
          <w:rFonts w:ascii="Poppins" w:hAnsi="Poppins" w:cs="Poppins"/>
          <w:sz w:val="16"/>
          <w:szCs w:val="16"/>
        </w:rPr>
        <w:t>NTx epitope is adsorbed onto a 96-well microplate. Diluted samples are added to the microplate wells, followed by a horseradish peroxidase labeled monoclonal antibody. NTx in the patient sample competes with the NTx epitope in the microplate well for antibody binding sites. Following a wash step, the amount of labeled antibody bound is measured by colorimetric generation of a peroxide substrate. Absorbance is determined spectrophotometrically and NTx concentration calculated using a standard calibration curve. Assay values are reported in nanomoles Bone Collagen Equivalents per liter (</w:t>
      </w:r>
      <w:proofErr w:type="spellStart"/>
      <w:r w:rsidRPr="00422FBD">
        <w:rPr>
          <w:rFonts w:ascii="Poppins" w:hAnsi="Poppins" w:cs="Poppins"/>
          <w:sz w:val="16"/>
          <w:szCs w:val="16"/>
        </w:rPr>
        <w:t>nM</w:t>
      </w:r>
      <w:proofErr w:type="spellEnd"/>
      <w:r w:rsidRPr="00422FBD">
        <w:rPr>
          <w:rFonts w:ascii="Poppins" w:hAnsi="Poppins" w:cs="Poppins"/>
          <w:sz w:val="16"/>
          <w:szCs w:val="16"/>
        </w:rPr>
        <w:t xml:space="preserve"> BCE).</w:t>
      </w:r>
    </w:p>
    <w:p w14:paraId="667D71C7" w14:textId="04CE19EF" w:rsidR="00742F52" w:rsidRDefault="00C17799" w:rsidP="00742F52">
      <w:pPr>
        <w:spacing w:before="240"/>
        <w:rPr>
          <w:rFonts w:ascii="Poppins" w:hAnsi="Poppins" w:cs="Poppins"/>
          <w:sz w:val="16"/>
          <w:szCs w:val="16"/>
        </w:rPr>
      </w:pPr>
      <w:r w:rsidRPr="00F3236B">
        <w:rPr>
          <w:rFonts w:ascii="Poppins" w:hAnsi="Poppins" w:cs="Poppins"/>
          <w:b/>
          <w:color w:val="E36C0A" w:themeColor="accent6" w:themeShade="BF"/>
        </w:rPr>
        <w:t>TEST SYSTEM COMPONENTS</w:t>
      </w:r>
    </w:p>
    <w:tbl>
      <w:tblPr>
        <w:tblStyle w:val="TableGrid"/>
        <w:tblW w:w="0" w:type="auto"/>
        <w:tblInd w:w="-95" w:type="dxa"/>
        <w:tblLook w:val="04A0" w:firstRow="1" w:lastRow="0" w:firstColumn="1" w:lastColumn="0" w:noHBand="0" w:noVBand="1"/>
      </w:tblPr>
      <w:tblGrid>
        <w:gridCol w:w="540"/>
        <w:gridCol w:w="2430"/>
        <w:gridCol w:w="1800"/>
        <w:gridCol w:w="3252"/>
        <w:gridCol w:w="2863"/>
      </w:tblGrid>
      <w:tr w:rsidR="00742F52" w14:paraId="607D7A07" w14:textId="77777777" w:rsidTr="00742F52">
        <w:trPr>
          <w:trHeight w:val="797"/>
        </w:trPr>
        <w:tc>
          <w:tcPr>
            <w:tcW w:w="2970" w:type="dxa"/>
            <w:gridSpan w:val="2"/>
            <w:shd w:val="clear" w:color="auto" w:fill="D9D9D9" w:themeFill="background1" w:themeFillShade="D9"/>
            <w:vAlign w:val="center"/>
          </w:tcPr>
          <w:p w14:paraId="640D2141" w14:textId="7C3A7D90" w:rsidR="00742F52" w:rsidRPr="00756900" w:rsidRDefault="00742F52" w:rsidP="00742F52">
            <w:pPr>
              <w:contextualSpacing/>
              <w:jc w:val="center"/>
              <w:rPr>
                <w:rFonts w:ascii="Poppins" w:hAnsi="Poppins" w:cs="Poppins"/>
                <w:b/>
                <w:bCs/>
                <w:noProof/>
                <w:sz w:val="18"/>
                <w:szCs w:val="18"/>
              </w:rPr>
            </w:pPr>
            <w:r w:rsidRPr="00852A01">
              <w:rPr>
                <w:rFonts w:ascii="Poppins" w:hAnsi="Poppins" w:cs="Poppins"/>
                <w:b/>
                <w:bCs/>
                <w:noProof/>
                <w:sz w:val="20"/>
                <w:szCs w:val="20"/>
              </w:rPr>
              <w:t>Kit Component</w:t>
            </w:r>
          </w:p>
        </w:tc>
        <w:tc>
          <w:tcPr>
            <w:tcW w:w="1800" w:type="dxa"/>
            <w:shd w:val="clear" w:color="auto" w:fill="D9D9D9" w:themeFill="background1" w:themeFillShade="D9"/>
            <w:vAlign w:val="center"/>
          </w:tcPr>
          <w:p w14:paraId="707D4712" w14:textId="2B5A5AA3" w:rsidR="00742F52" w:rsidRPr="00852A01" w:rsidRDefault="00742F52" w:rsidP="00742F52">
            <w:pPr>
              <w:contextualSpacing/>
              <w:jc w:val="center"/>
              <w:rPr>
                <w:rFonts w:ascii="Poppins" w:hAnsi="Poppins" w:cs="Poppins"/>
                <w:b/>
                <w:bCs/>
                <w:sz w:val="20"/>
                <w:szCs w:val="20"/>
              </w:rPr>
            </w:pPr>
            <w:r w:rsidRPr="00852A01">
              <w:rPr>
                <w:rFonts w:ascii="Poppins" w:hAnsi="Poppins" w:cs="Poppins"/>
                <w:b/>
                <w:bCs/>
                <w:sz w:val="20"/>
                <w:szCs w:val="20"/>
              </w:rPr>
              <w:t>Quantity</w:t>
            </w:r>
          </w:p>
          <w:p w14:paraId="66C1B3EC" w14:textId="189C809B" w:rsidR="00742F52" w:rsidRPr="00852A01" w:rsidRDefault="00742F52" w:rsidP="00742F52">
            <w:pPr>
              <w:contextualSpacing/>
              <w:jc w:val="center"/>
              <w:rPr>
                <w:rFonts w:ascii="Poppins" w:hAnsi="Poppins" w:cs="Poppins"/>
                <w:b/>
                <w:bCs/>
                <w:sz w:val="20"/>
                <w:szCs w:val="20"/>
              </w:rPr>
            </w:pPr>
            <w:r w:rsidRPr="00DB250C">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6115" w:type="dxa"/>
            <w:gridSpan w:val="2"/>
            <w:shd w:val="clear" w:color="auto" w:fill="D9D9D9" w:themeFill="background1" w:themeFillShade="D9"/>
            <w:vAlign w:val="center"/>
          </w:tcPr>
          <w:p w14:paraId="3020417F" w14:textId="3CE33B3C" w:rsidR="00742F52" w:rsidRPr="00852A01" w:rsidRDefault="00742F52" w:rsidP="00742F52">
            <w:pPr>
              <w:contextualSpacing/>
              <w:rPr>
                <w:rFonts w:ascii="Poppins" w:hAnsi="Poppins" w:cs="Poppins"/>
                <w:b/>
                <w:bCs/>
                <w:color w:val="000000"/>
                <w:sz w:val="20"/>
                <w:szCs w:val="20"/>
              </w:rPr>
            </w:pPr>
            <w:r w:rsidRPr="00852A01">
              <w:rPr>
                <w:rFonts w:ascii="Poppins" w:hAnsi="Poppins" w:cs="Poppins"/>
                <w:b/>
                <w:bCs/>
                <w:color w:val="000000"/>
                <w:sz w:val="20"/>
                <w:szCs w:val="20"/>
              </w:rPr>
              <w:t>Description</w:t>
            </w:r>
          </w:p>
        </w:tc>
      </w:tr>
      <w:tr w:rsidR="00742F52" w14:paraId="290148AB" w14:textId="77777777" w:rsidTr="00742F52">
        <w:trPr>
          <w:trHeight w:val="576"/>
        </w:trPr>
        <w:tc>
          <w:tcPr>
            <w:tcW w:w="540" w:type="dxa"/>
            <w:vAlign w:val="center"/>
          </w:tcPr>
          <w:p w14:paraId="41B89E56" w14:textId="77E7C6A3"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A</w:t>
            </w:r>
          </w:p>
        </w:tc>
        <w:tc>
          <w:tcPr>
            <w:tcW w:w="2430" w:type="dxa"/>
            <w:vAlign w:val="center"/>
          </w:tcPr>
          <w:p w14:paraId="732AB91C" w14:textId="13C683BD" w:rsidR="00742F52" w:rsidRDefault="00742F52" w:rsidP="00742F52">
            <w:pPr>
              <w:contextualSpacing/>
              <w:jc w:val="center"/>
              <w:rPr>
                <w:rFonts w:ascii="Poppins" w:hAnsi="Poppins" w:cs="Poppins"/>
                <w:sz w:val="16"/>
                <w:szCs w:val="16"/>
              </w:rPr>
            </w:pPr>
            <w:r>
              <w:rPr>
                <w:rFonts w:ascii="Poppins" w:hAnsi="Poppins" w:cs="Poppins"/>
                <w:noProof/>
                <w:sz w:val="16"/>
                <w:szCs w:val="16"/>
              </w:rPr>
              <w:drawing>
                <wp:inline distT="0" distB="0" distL="0" distR="0" wp14:anchorId="4D31C768" wp14:editId="5AB83BB3">
                  <wp:extent cx="585470" cy="280670"/>
                  <wp:effectExtent l="0" t="0" r="5080" b="5080"/>
                  <wp:docPr id="157257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800" w:type="dxa"/>
            <w:vAlign w:val="center"/>
          </w:tcPr>
          <w:p w14:paraId="490C4AE7" w14:textId="06941B8F" w:rsidR="00742F52" w:rsidRDefault="00742F52" w:rsidP="00742F52">
            <w:pPr>
              <w:contextualSpacing/>
              <w:jc w:val="center"/>
              <w:rPr>
                <w:rFonts w:ascii="Poppins" w:hAnsi="Poppins" w:cs="Poppins"/>
                <w:sz w:val="16"/>
                <w:szCs w:val="16"/>
              </w:rPr>
            </w:pPr>
            <w:r w:rsidRPr="007B00C6">
              <w:rPr>
                <w:rFonts w:ascii="Poppins" w:hAnsi="Poppins" w:cs="Poppins"/>
                <w:sz w:val="16"/>
                <w:szCs w:val="16"/>
              </w:rPr>
              <w:t>1 Plate</w:t>
            </w:r>
          </w:p>
        </w:tc>
        <w:tc>
          <w:tcPr>
            <w:tcW w:w="6115" w:type="dxa"/>
            <w:gridSpan w:val="2"/>
            <w:vAlign w:val="center"/>
          </w:tcPr>
          <w:p w14:paraId="77A250C3" w14:textId="6F2C43F5" w:rsidR="00742F52" w:rsidRPr="00032647" w:rsidRDefault="00742F52" w:rsidP="00742F52">
            <w:pPr>
              <w:contextualSpacing/>
              <w:rPr>
                <w:rFonts w:ascii="Poppins" w:hAnsi="Poppins" w:cs="Poppins"/>
                <w:sz w:val="16"/>
                <w:szCs w:val="16"/>
              </w:rPr>
            </w:pPr>
            <w:r>
              <w:rPr>
                <w:rFonts w:ascii="Poppins" w:hAnsi="Poppins" w:cs="Poppins"/>
                <w:sz w:val="16"/>
                <w:szCs w:val="16"/>
              </w:rPr>
              <w:t>Antigen coated 96-microwell plate.  12 x 8-well strips coated with synthetic NTx antigen.</w:t>
            </w:r>
          </w:p>
        </w:tc>
      </w:tr>
      <w:tr w:rsidR="00742F52" w14:paraId="2A48E82A" w14:textId="77777777" w:rsidTr="00742F52">
        <w:trPr>
          <w:trHeight w:val="576"/>
        </w:trPr>
        <w:tc>
          <w:tcPr>
            <w:tcW w:w="540" w:type="dxa"/>
            <w:vAlign w:val="center"/>
          </w:tcPr>
          <w:p w14:paraId="0C4E629C" w14:textId="11BC5AF9"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B</w:t>
            </w:r>
          </w:p>
        </w:tc>
        <w:tc>
          <w:tcPr>
            <w:tcW w:w="2430" w:type="dxa"/>
            <w:vAlign w:val="center"/>
          </w:tcPr>
          <w:p w14:paraId="700E1440" w14:textId="629F1751" w:rsidR="00742F52" w:rsidRDefault="00742F52" w:rsidP="00742F52">
            <w:pPr>
              <w:contextualSpacing/>
              <w:jc w:val="center"/>
              <w:rPr>
                <w:rFonts w:ascii="Poppins" w:hAnsi="Poppins" w:cs="Poppins"/>
                <w:noProof/>
                <w:sz w:val="16"/>
                <w:szCs w:val="16"/>
              </w:rPr>
            </w:pPr>
            <w:r>
              <w:rPr>
                <w:noProof/>
              </w:rPr>
              <w:drawing>
                <wp:inline distT="0" distB="0" distL="0" distR="0" wp14:anchorId="6D82E201" wp14:editId="512521D8">
                  <wp:extent cx="670560" cy="280670"/>
                  <wp:effectExtent l="0" t="0" r="0" b="5080"/>
                  <wp:docPr id="11287952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280670"/>
                          </a:xfrm>
                          <a:prstGeom prst="rect">
                            <a:avLst/>
                          </a:prstGeom>
                          <a:noFill/>
                        </pic:spPr>
                      </pic:pic>
                    </a:graphicData>
                  </a:graphic>
                </wp:inline>
              </w:drawing>
            </w:r>
          </w:p>
        </w:tc>
        <w:tc>
          <w:tcPr>
            <w:tcW w:w="1800" w:type="dxa"/>
            <w:vAlign w:val="center"/>
          </w:tcPr>
          <w:p w14:paraId="672BD24F" w14:textId="2B791249" w:rsidR="00742F52" w:rsidRDefault="00742F52" w:rsidP="00742F52">
            <w:pPr>
              <w:contextualSpacing/>
              <w:jc w:val="center"/>
              <w:rPr>
                <w:rFonts w:ascii="Poppins" w:hAnsi="Poppins" w:cs="Poppins"/>
                <w:sz w:val="16"/>
                <w:szCs w:val="16"/>
              </w:rPr>
            </w:pPr>
            <w:r>
              <w:rPr>
                <w:rFonts w:ascii="Poppins" w:hAnsi="Poppins" w:cs="Poppins"/>
                <w:sz w:val="16"/>
                <w:szCs w:val="16"/>
              </w:rPr>
              <w:t>40 mL bottle</w:t>
            </w:r>
          </w:p>
        </w:tc>
        <w:tc>
          <w:tcPr>
            <w:tcW w:w="6115" w:type="dxa"/>
            <w:gridSpan w:val="2"/>
            <w:vAlign w:val="center"/>
          </w:tcPr>
          <w:p w14:paraId="173012AB" w14:textId="1AB12328" w:rsidR="00742F52" w:rsidRPr="00032647" w:rsidRDefault="00742F52" w:rsidP="00742F52">
            <w:pPr>
              <w:contextualSpacing/>
              <w:rPr>
                <w:rFonts w:ascii="Poppins" w:hAnsi="Poppins" w:cs="Poppins"/>
                <w:color w:val="000000"/>
                <w:sz w:val="16"/>
                <w:szCs w:val="16"/>
              </w:rPr>
            </w:pPr>
            <w:r>
              <w:rPr>
                <w:rFonts w:ascii="Poppins" w:hAnsi="Poppins" w:cs="Poppins"/>
                <w:sz w:val="16"/>
                <w:szCs w:val="16"/>
              </w:rPr>
              <w:t xml:space="preserve">Specimen Diluent.  </w:t>
            </w:r>
            <w:r w:rsidRPr="00422FBD">
              <w:rPr>
                <w:rFonts w:ascii="Poppins" w:hAnsi="Poppins" w:cs="Poppins"/>
                <w:sz w:val="16"/>
                <w:szCs w:val="16"/>
              </w:rPr>
              <w:t>Buffered reagent into which calibrators, controls and specimens are diluted. ProClin™ 300 (0.05%) included as a preservative</w:t>
            </w:r>
            <w:r>
              <w:rPr>
                <w:rFonts w:ascii="Poppins" w:hAnsi="Poppins" w:cs="Poppins"/>
                <w:sz w:val="16"/>
                <w:szCs w:val="16"/>
              </w:rPr>
              <w:t>.</w:t>
            </w:r>
          </w:p>
        </w:tc>
      </w:tr>
      <w:tr w:rsidR="00742F52" w14:paraId="2C8028D6" w14:textId="77777777" w:rsidTr="00742F52">
        <w:trPr>
          <w:trHeight w:val="576"/>
        </w:trPr>
        <w:tc>
          <w:tcPr>
            <w:tcW w:w="540" w:type="dxa"/>
            <w:vAlign w:val="center"/>
          </w:tcPr>
          <w:p w14:paraId="7733232C" w14:textId="01FAAA66"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C</w:t>
            </w:r>
          </w:p>
        </w:tc>
        <w:tc>
          <w:tcPr>
            <w:tcW w:w="2430" w:type="dxa"/>
            <w:vAlign w:val="center"/>
          </w:tcPr>
          <w:p w14:paraId="314D9D51" w14:textId="3629A887" w:rsidR="00742F52" w:rsidRDefault="00742F52" w:rsidP="00742F52">
            <w:pPr>
              <w:contextualSpacing/>
              <w:jc w:val="center"/>
              <w:rPr>
                <w:rFonts w:ascii="Poppins" w:hAnsi="Poppins" w:cs="Poppins"/>
                <w:sz w:val="16"/>
                <w:szCs w:val="16"/>
              </w:rPr>
            </w:pPr>
            <w:r>
              <w:rPr>
                <w:rFonts w:ascii="Poppins" w:hAnsi="Poppins" w:cs="Poppins"/>
                <w:noProof/>
                <w:sz w:val="16"/>
                <w:szCs w:val="16"/>
              </w:rPr>
              <w:drawing>
                <wp:inline distT="0" distB="0" distL="0" distR="0" wp14:anchorId="17DF334D" wp14:editId="557C5EB0">
                  <wp:extent cx="572770" cy="286385"/>
                  <wp:effectExtent l="0" t="0" r="0" b="0"/>
                  <wp:docPr id="108766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800" w:type="dxa"/>
            <w:vAlign w:val="center"/>
          </w:tcPr>
          <w:p w14:paraId="0998F410" w14:textId="765941C4"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6115" w:type="dxa"/>
            <w:gridSpan w:val="2"/>
            <w:vAlign w:val="center"/>
          </w:tcPr>
          <w:p w14:paraId="4BD7AFCD" w14:textId="7A4A0FE7" w:rsidR="00742F52" w:rsidRPr="00032647" w:rsidRDefault="00742F52" w:rsidP="00742F52">
            <w:pPr>
              <w:contextualSpacing/>
              <w:rPr>
                <w:rFonts w:ascii="Poppins" w:hAnsi="Poppins" w:cs="Poppins"/>
                <w:sz w:val="16"/>
                <w:szCs w:val="16"/>
              </w:rPr>
            </w:pPr>
            <w:r>
              <w:rPr>
                <w:rFonts w:ascii="Poppins" w:hAnsi="Poppins" w:cs="Poppins"/>
                <w:sz w:val="16"/>
                <w:szCs w:val="16"/>
              </w:rPr>
              <w:t>Antibody Conjugate Concentrate.  Solution containing purified mSerum monoclonal antibody directed against NTx conjugated to horse radish peroxidase and Proclin™ 300 (0.1%).  Supplied as a 100X concentrated conjugate.</w:t>
            </w:r>
          </w:p>
        </w:tc>
      </w:tr>
      <w:tr w:rsidR="00742F52" w14:paraId="0D7D7F5B" w14:textId="77777777" w:rsidTr="00742F52">
        <w:trPr>
          <w:trHeight w:val="576"/>
        </w:trPr>
        <w:tc>
          <w:tcPr>
            <w:tcW w:w="540" w:type="dxa"/>
            <w:vAlign w:val="center"/>
          </w:tcPr>
          <w:p w14:paraId="4F01D349" w14:textId="0867B76A"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D</w:t>
            </w:r>
          </w:p>
        </w:tc>
        <w:tc>
          <w:tcPr>
            <w:tcW w:w="2430" w:type="dxa"/>
            <w:vAlign w:val="center"/>
          </w:tcPr>
          <w:p w14:paraId="4BAB59A8" w14:textId="7FD950E8" w:rsidR="00742F52" w:rsidRDefault="00742F52" w:rsidP="00742F52">
            <w:pPr>
              <w:contextualSpacing/>
              <w:jc w:val="center"/>
              <w:rPr>
                <w:rFonts w:ascii="Poppins" w:hAnsi="Poppins" w:cs="Poppins"/>
                <w:sz w:val="16"/>
                <w:szCs w:val="16"/>
              </w:rPr>
            </w:pPr>
            <w:r>
              <w:rPr>
                <w:noProof/>
              </w:rPr>
              <w:drawing>
                <wp:inline distT="0" distB="0" distL="0" distR="0" wp14:anchorId="7FCF52F5" wp14:editId="4FAE9031">
                  <wp:extent cx="1017905" cy="286385"/>
                  <wp:effectExtent l="0" t="0" r="0" b="0"/>
                  <wp:docPr id="2633299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905" cy="286385"/>
                          </a:xfrm>
                          <a:prstGeom prst="rect">
                            <a:avLst/>
                          </a:prstGeom>
                          <a:noFill/>
                        </pic:spPr>
                      </pic:pic>
                    </a:graphicData>
                  </a:graphic>
                </wp:inline>
              </w:drawing>
            </w:r>
          </w:p>
        </w:tc>
        <w:tc>
          <w:tcPr>
            <w:tcW w:w="1800" w:type="dxa"/>
            <w:vAlign w:val="center"/>
          </w:tcPr>
          <w:p w14:paraId="079B598D" w14:textId="3312588A" w:rsidR="00742F52" w:rsidRDefault="00742F52" w:rsidP="00742F52">
            <w:pPr>
              <w:contextualSpacing/>
              <w:jc w:val="center"/>
              <w:rPr>
                <w:rFonts w:ascii="Poppins" w:hAnsi="Poppins" w:cs="Poppins"/>
                <w:sz w:val="16"/>
                <w:szCs w:val="16"/>
              </w:rPr>
            </w:pPr>
            <w:r>
              <w:rPr>
                <w:rFonts w:ascii="Poppins" w:hAnsi="Poppins" w:cs="Poppins"/>
                <w:sz w:val="16"/>
                <w:szCs w:val="16"/>
              </w:rPr>
              <w:t>25 mL bottle</w:t>
            </w:r>
          </w:p>
        </w:tc>
        <w:tc>
          <w:tcPr>
            <w:tcW w:w="6115" w:type="dxa"/>
            <w:gridSpan w:val="2"/>
            <w:vAlign w:val="center"/>
          </w:tcPr>
          <w:p w14:paraId="6DC72FB1" w14:textId="1DEFFD4C" w:rsidR="00742F52" w:rsidRPr="00032647" w:rsidRDefault="00742F52" w:rsidP="00742F52">
            <w:pPr>
              <w:contextualSpacing/>
              <w:rPr>
                <w:rFonts w:ascii="Poppins" w:hAnsi="Poppins" w:cs="Poppins"/>
                <w:sz w:val="16"/>
                <w:szCs w:val="16"/>
              </w:rPr>
            </w:pPr>
            <w:r>
              <w:rPr>
                <w:rFonts w:ascii="Poppins" w:hAnsi="Poppins" w:cs="Poppins"/>
                <w:sz w:val="16"/>
                <w:szCs w:val="16"/>
              </w:rPr>
              <w:t xml:space="preserve">Antibody Conjugate Diluent.   </w:t>
            </w:r>
            <w:r w:rsidRPr="000F10D0">
              <w:rPr>
                <w:rFonts w:ascii="Poppins" w:hAnsi="Poppins" w:cs="Poppins"/>
                <w:sz w:val="16"/>
                <w:szCs w:val="16"/>
              </w:rPr>
              <w:t>Buffered reagent with protein stabilizers, into which Antibody Conjugate Concentrate is diluted. ProClin™ 300 (0.05%) included as a preservative</w:t>
            </w:r>
            <w:r>
              <w:rPr>
                <w:rFonts w:ascii="Poppins" w:hAnsi="Poppins" w:cs="Poppins"/>
                <w:sz w:val="16"/>
                <w:szCs w:val="16"/>
              </w:rPr>
              <w:t>.</w:t>
            </w:r>
          </w:p>
        </w:tc>
      </w:tr>
      <w:tr w:rsidR="00742F52" w14:paraId="2BFBEC3C" w14:textId="77777777" w:rsidTr="00742F52">
        <w:trPr>
          <w:trHeight w:val="576"/>
        </w:trPr>
        <w:tc>
          <w:tcPr>
            <w:tcW w:w="540" w:type="dxa"/>
            <w:vAlign w:val="center"/>
          </w:tcPr>
          <w:p w14:paraId="48442FDA" w14:textId="0DF4255F"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E</w:t>
            </w:r>
          </w:p>
        </w:tc>
        <w:tc>
          <w:tcPr>
            <w:tcW w:w="2430" w:type="dxa"/>
            <w:vAlign w:val="center"/>
          </w:tcPr>
          <w:p w14:paraId="228B88AC" w14:textId="14136CDE" w:rsidR="00742F52" w:rsidRDefault="00742F52" w:rsidP="00742F52">
            <w:pPr>
              <w:contextualSpacing/>
              <w:jc w:val="center"/>
              <w:rPr>
                <w:rFonts w:ascii="Poppins" w:hAnsi="Poppins" w:cs="Poppins"/>
                <w:sz w:val="16"/>
                <w:szCs w:val="16"/>
              </w:rPr>
            </w:pPr>
            <w:r>
              <w:rPr>
                <w:noProof/>
              </w:rPr>
              <w:drawing>
                <wp:inline distT="0" distB="0" distL="0" distR="0" wp14:anchorId="215E1FAC" wp14:editId="32F1C92D">
                  <wp:extent cx="1103630" cy="280670"/>
                  <wp:effectExtent l="0" t="0" r="1270" b="5080"/>
                  <wp:docPr id="9642840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280670"/>
                          </a:xfrm>
                          <a:prstGeom prst="rect">
                            <a:avLst/>
                          </a:prstGeom>
                          <a:noFill/>
                        </pic:spPr>
                      </pic:pic>
                    </a:graphicData>
                  </a:graphic>
                </wp:inline>
              </w:drawing>
            </w:r>
          </w:p>
        </w:tc>
        <w:tc>
          <w:tcPr>
            <w:tcW w:w="1800" w:type="dxa"/>
            <w:vAlign w:val="center"/>
          </w:tcPr>
          <w:p w14:paraId="5E06F451" w14:textId="29D8D959" w:rsidR="00742F52" w:rsidRDefault="00742F52" w:rsidP="00742F52">
            <w:pPr>
              <w:contextualSpacing/>
              <w:jc w:val="center"/>
              <w:rPr>
                <w:rFonts w:ascii="Poppins" w:hAnsi="Poppins" w:cs="Poppins"/>
                <w:sz w:val="16"/>
                <w:szCs w:val="16"/>
              </w:rPr>
            </w:pPr>
            <w:r>
              <w:rPr>
                <w:rFonts w:ascii="Poppins" w:hAnsi="Poppins" w:cs="Poppins"/>
                <w:sz w:val="16"/>
                <w:szCs w:val="16"/>
              </w:rPr>
              <w:t>0.9 mL bottle</w:t>
            </w:r>
          </w:p>
        </w:tc>
        <w:tc>
          <w:tcPr>
            <w:tcW w:w="6115" w:type="dxa"/>
            <w:gridSpan w:val="2"/>
            <w:vAlign w:val="center"/>
          </w:tcPr>
          <w:p w14:paraId="4BD7AC5B" w14:textId="1ADF8F99" w:rsidR="00742F52" w:rsidRPr="00032647" w:rsidRDefault="00742F52" w:rsidP="00742F52">
            <w:pPr>
              <w:contextualSpacing/>
              <w:rPr>
                <w:rFonts w:ascii="Poppins" w:hAnsi="Poppins" w:cs="Poppins"/>
                <w:sz w:val="16"/>
                <w:szCs w:val="16"/>
              </w:rPr>
            </w:pPr>
            <w:r>
              <w:rPr>
                <w:rFonts w:ascii="Poppins" w:hAnsi="Poppins" w:cs="Poppins"/>
                <w:sz w:val="16"/>
                <w:szCs w:val="16"/>
              </w:rPr>
              <w:t xml:space="preserve">Chromogen Reagent.  One vial containing a solution of </w:t>
            </w:r>
            <w:r w:rsidRPr="000F10D0">
              <w:rPr>
                <w:rFonts w:ascii="Poppins" w:hAnsi="Poppins" w:cs="Poppins"/>
                <w:sz w:val="16"/>
                <w:szCs w:val="16"/>
              </w:rPr>
              <w:t>3,3’,5,5’ – tetramethylbenzidine in dimethyl-sulfoxide. Supplied as a 100x concentrate</w:t>
            </w:r>
            <w:r>
              <w:rPr>
                <w:rFonts w:ascii="Poppins" w:hAnsi="Poppins" w:cs="Poppins"/>
                <w:sz w:val="16"/>
                <w:szCs w:val="16"/>
              </w:rPr>
              <w:t>.</w:t>
            </w:r>
          </w:p>
        </w:tc>
      </w:tr>
      <w:tr w:rsidR="00742F52" w14:paraId="29C0DF1D" w14:textId="77777777" w:rsidTr="00742F52">
        <w:trPr>
          <w:trHeight w:val="576"/>
        </w:trPr>
        <w:tc>
          <w:tcPr>
            <w:tcW w:w="540" w:type="dxa"/>
            <w:vAlign w:val="center"/>
          </w:tcPr>
          <w:p w14:paraId="640F863B" w14:textId="6A4A5909"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F</w:t>
            </w:r>
          </w:p>
        </w:tc>
        <w:tc>
          <w:tcPr>
            <w:tcW w:w="2430" w:type="dxa"/>
            <w:vAlign w:val="center"/>
          </w:tcPr>
          <w:p w14:paraId="7AA29714" w14:textId="7AECA8AA" w:rsidR="00742F52" w:rsidRDefault="00742F52" w:rsidP="00742F52">
            <w:pPr>
              <w:contextualSpacing/>
              <w:jc w:val="center"/>
              <w:rPr>
                <w:rFonts w:ascii="Poppins" w:hAnsi="Poppins" w:cs="Poppins"/>
                <w:sz w:val="16"/>
                <w:szCs w:val="16"/>
              </w:rPr>
            </w:pPr>
            <w:r>
              <w:rPr>
                <w:noProof/>
              </w:rPr>
              <w:drawing>
                <wp:inline distT="0" distB="0" distL="0" distR="0" wp14:anchorId="745DE692" wp14:editId="51635CE2">
                  <wp:extent cx="682625" cy="286385"/>
                  <wp:effectExtent l="0" t="0" r="3175" b="0"/>
                  <wp:docPr id="2863152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625" cy="286385"/>
                          </a:xfrm>
                          <a:prstGeom prst="rect">
                            <a:avLst/>
                          </a:prstGeom>
                          <a:noFill/>
                        </pic:spPr>
                      </pic:pic>
                    </a:graphicData>
                  </a:graphic>
                </wp:inline>
              </w:drawing>
            </w:r>
          </w:p>
        </w:tc>
        <w:tc>
          <w:tcPr>
            <w:tcW w:w="1800" w:type="dxa"/>
            <w:vAlign w:val="center"/>
          </w:tcPr>
          <w:p w14:paraId="4A8ADFF0" w14:textId="195BE5EF" w:rsidR="00742F52" w:rsidRDefault="00742F52" w:rsidP="00742F52">
            <w:pPr>
              <w:contextualSpacing/>
              <w:jc w:val="center"/>
              <w:rPr>
                <w:rFonts w:ascii="Poppins" w:hAnsi="Poppins" w:cs="Poppins"/>
                <w:sz w:val="16"/>
                <w:szCs w:val="16"/>
              </w:rPr>
            </w:pPr>
            <w:r>
              <w:rPr>
                <w:rFonts w:ascii="Poppins" w:hAnsi="Poppins" w:cs="Poppins"/>
                <w:sz w:val="16"/>
                <w:szCs w:val="16"/>
              </w:rPr>
              <w:t>30 mL bottle</w:t>
            </w:r>
          </w:p>
        </w:tc>
        <w:tc>
          <w:tcPr>
            <w:tcW w:w="6115" w:type="dxa"/>
            <w:gridSpan w:val="2"/>
            <w:vAlign w:val="center"/>
          </w:tcPr>
          <w:p w14:paraId="4CBDD5D3" w14:textId="61634581" w:rsidR="00742F52" w:rsidRPr="00032647" w:rsidRDefault="00742F52" w:rsidP="00742F52">
            <w:pPr>
              <w:contextualSpacing/>
              <w:rPr>
                <w:rFonts w:ascii="Poppins" w:hAnsi="Poppins" w:cs="Poppins"/>
                <w:sz w:val="16"/>
                <w:szCs w:val="16"/>
              </w:rPr>
            </w:pPr>
            <w:r>
              <w:rPr>
                <w:rFonts w:ascii="Poppins" w:hAnsi="Poppins" w:cs="Poppins"/>
                <w:sz w:val="16"/>
                <w:szCs w:val="16"/>
              </w:rPr>
              <w:t>Buffered Substrate.  One bottle containing a buffered hydrogen peroxide solution.</w:t>
            </w:r>
          </w:p>
        </w:tc>
      </w:tr>
      <w:tr w:rsidR="00742F52" w14:paraId="1730D6DF" w14:textId="77777777" w:rsidTr="00742F52">
        <w:trPr>
          <w:trHeight w:val="576"/>
        </w:trPr>
        <w:tc>
          <w:tcPr>
            <w:tcW w:w="540" w:type="dxa"/>
            <w:vAlign w:val="center"/>
          </w:tcPr>
          <w:p w14:paraId="2B2BC8CB" w14:textId="41468D51"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G</w:t>
            </w:r>
          </w:p>
        </w:tc>
        <w:tc>
          <w:tcPr>
            <w:tcW w:w="2430" w:type="dxa"/>
            <w:vAlign w:val="center"/>
          </w:tcPr>
          <w:p w14:paraId="012979FE" w14:textId="429D64AB" w:rsidR="00742F52" w:rsidRDefault="00742F52" w:rsidP="00742F52">
            <w:pPr>
              <w:contextualSpacing/>
              <w:jc w:val="center"/>
              <w:rPr>
                <w:noProof/>
              </w:rPr>
            </w:pPr>
            <w:r>
              <w:rPr>
                <w:noProof/>
              </w:rPr>
              <w:drawing>
                <wp:inline distT="0" distB="0" distL="0" distR="0" wp14:anchorId="6C4E8FB0" wp14:editId="1CEB35FF">
                  <wp:extent cx="1061085" cy="280670"/>
                  <wp:effectExtent l="0" t="0" r="5715" b="5080"/>
                  <wp:docPr id="4706339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800" w:type="dxa"/>
            <w:vAlign w:val="center"/>
          </w:tcPr>
          <w:p w14:paraId="2F39ADF6" w14:textId="2C05BEA3" w:rsidR="00742F52" w:rsidRDefault="00742F52" w:rsidP="00742F52">
            <w:pPr>
              <w:contextualSpacing/>
              <w:jc w:val="center"/>
              <w:rPr>
                <w:rFonts w:ascii="Poppins" w:hAnsi="Poppins" w:cs="Poppins"/>
                <w:sz w:val="16"/>
                <w:szCs w:val="16"/>
              </w:rPr>
            </w:pPr>
            <w:r>
              <w:rPr>
                <w:rFonts w:ascii="Poppins" w:hAnsi="Poppins" w:cs="Poppins"/>
                <w:sz w:val="16"/>
                <w:szCs w:val="16"/>
              </w:rPr>
              <w:t>25 mL bottle</w:t>
            </w:r>
          </w:p>
        </w:tc>
        <w:tc>
          <w:tcPr>
            <w:tcW w:w="6115" w:type="dxa"/>
            <w:gridSpan w:val="2"/>
            <w:vAlign w:val="center"/>
          </w:tcPr>
          <w:p w14:paraId="52D3820C" w14:textId="31ABA0CB" w:rsidR="00742F52" w:rsidRPr="00032647" w:rsidRDefault="00742F52" w:rsidP="00742F52">
            <w:pPr>
              <w:contextualSpacing/>
              <w:rPr>
                <w:rFonts w:ascii="Poppins" w:hAnsi="Poppins" w:cs="Poppins"/>
                <w:color w:val="000000"/>
                <w:sz w:val="16"/>
                <w:szCs w:val="16"/>
              </w:rPr>
            </w:pPr>
            <w:r>
              <w:rPr>
                <w:rFonts w:ascii="Poppins" w:hAnsi="Poppins" w:cs="Poppins"/>
                <w:sz w:val="16"/>
                <w:szCs w:val="16"/>
              </w:rPr>
              <w:t>Stopping Reagent.  One bottle containing a solution of 1N sulfuric acid.</w:t>
            </w:r>
            <w:r>
              <w:rPr>
                <w:rFonts w:ascii="Poppins" w:hAnsi="Poppins" w:cs="Poppins"/>
                <w:sz w:val="16"/>
                <w:szCs w:val="16"/>
              </w:rPr>
              <w:tab/>
            </w:r>
          </w:p>
        </w:tc>
      </w:tr>
      <w:tr w:rsidR="00742F52" w14:paraId="703A0484" w14:textId="77777777" w:rsidTr="00742F52">
        <w:trPr>
          <w:trHeight w:val="576"/>
        </w:trPr>
        <w:tc>
          <w:tcPr>
            <w:tcW w:w="540" w:type="dxa"/>
            <w:vAlign w:val="center"/>
          </w:tcPr>
          <w:p w14:paraId="51D75691" w14:textId="4AA832E5"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H</w:t>
            </w:r>
          </w:p>
        </w:tc>
        <w:tc>
          <w:tcPr>
            <w:tcW w:w="2430" w:type="dxa"/>
            <w:vAlign w:val="center"/>
          </w:tcPr>
          <w:p w14:paraId="200B6CD1" w14:textId="49C2D0F6" w:rsidR="00742F52" w:rsidRDefault="00742F52" w:rsidP="00742F52">
            <w:pPr>
              <w:contextualSpacing/>
              <w:jc w:val="center"/>
              <w:rPr>
                <w:noProof/>
              </w:rPr>
            </w:pPr>
            <w:r>
              <w:rPr>
                <w:noProof/>
              </w:rPr>
              <w:drawing>
                <wp:inline distT="0" distB="0" distL="0" distR="0" wp14:anchorId="4A30AB91" wp14:editId="4832C7D2">
                  <wp:extent cx="1371600" cy="280670"/>
                  <wp:effectExtent l="0" t="0" r="0" b="5080"/>
                  <wp:docPr id="17682302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280670"/>
                          </a:xfrm>
                          <a:prstGeom prst="rect">
                            <a:avLst/>
                          </a:prstGeom>
                          <a:noFill/>
                        </pic:spPr>
                      </pic:pic>
                    </a:graphicData>
                  </a:graphic>
                </wp:inline>
              </w:drawing>
            </w:r>
          </w:p>
        </w:tc>
        <w:tc>
          <w:tcPr>
            <w:tcW w:w="1800" w:type="dxa"/>
            <w:vAlign w:val="center"/>
          </w:tcPr>
          <w:p w14:paraId="715A3F9A" w14:textId="6C8949B9" w:rsidR="00742F52" w:rsidRDefault="00742F52" w:rsidP="00742F52">
            <w:pPr>
              <w:contextualSpacing/>
              <w:jc w:val="center"/>
              <w:rPr>
                <w:rFonts w:ascii="Poppins" w:hAnsi="Poppins" w:cs="Poppins"/>
                <w:sz w:val="16"/>
                <w:szCs w:val="16"/>
              </w:rPr>
            </w:pPr>
            <w:r>
              <w:rPr>
                <w:rFonts w:ascii="Poppins" w:hAnsi="Poppins" w:cs="Poppins"/>
                <w:sz w:val="16"/>
                <w:szCs w:val="16"/>
              </w:rPr>
              <w:t>125 mL bottle</w:t>
            </w:r>
          </w:p>
        </w:tc>
        <w:tc>
          <w:tcPr>
            <w:tcW w:w="6115" w:type="dxa"/>
            <w:gridSpan w:val="2"/>
            <w:vAlign w:val="center"/>
          </w:tcPr>
          <w:p w14:paraId="2E46E132" w14:textId="0E26F2A8" w:rsidR="00742F52" w:rsidRPr="00032647" w:rsidRDefault="00742F52" w:rsidP="00742F52">
            <w:pPr>
              <w:contextualSpacing/>
              <w:rPr>
                <w:rFonts w:ascii="Poppins" w:hAnsi="Poppins" w:cs="Poppins"/>
                <w:color w:val="000000"/>
                <w:sz w:val="16"/>
                <w:szCs w:val="16"/>
              </w:rPr>
            </w:pPr>
            <w:r>
              <w:rPr>
                <w:rFonts w:ascii="Poppins" w:hAnsi="Poppins" w:cs="Poppins"/>
                <w:sz w:val="16"/>
                <w:szCs w:val="16"/>
              </w:rPr>
              <w:t>30X Wash Buffer Solution.  One bottle containing a 30X ionic detergent solution.</w:t>
            </w:r>
          </w:p>
        </w:tc>
      </w:tr>
      <w:tr w:rsidR="00742F52" w14:paraId="2327C613" w14:textId="77777777" w:rsidTr="00742F52">
        <w:trPr>
          <w:trHeight w:val="576"/>
        </w:trPr>
        <w:tc>
          <w:tcPr>
            <w:tcW w:w="540" w:type="dxa"/>
            <w:vAlign w:val="center"/>
          </w:tcPr>
          <w:p w14:paraId="7F5B6212" w14:textId="31B54632"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0</w:t>
            </w:r>
          </w:p>
        </w:tc>
        <w:tc>
          <w:tcPr>
            <w:tcW w:w="2430" w:type="dxa"/>
            <w:vAlign w:val="center"/>
          </w:tcPr>
          <w:p w14:paraId="7410D7BA" w14:textId="4D20D36A" w:rsidR="00742F52" w:rsidRDefault="00742F52" w:rsidP="00742F52">
            <w:pPr>
              <w:contextualSpacing/>
              <w:jc w:val="center"/>
              <w:rPr>
                <w:noProof/>
              </w:rPr>
            </w:pPr>
            <w:r>
              <w:rPr>
                <w:noProof/>
              </w:rPr>
              <w:drawing>
                <wp:inline distT="0" distB="0" distL="0" distR="0" wp14:anchorId="72FA62D8" wp14:editId="0AAEFC1F">
                  <wp:extent cx="1024255" cy="280670"/>
                  <wp:effectExtent l="0" t="0" r="4445" b="5080"/>
                  <wp:docPr id="7315749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1800" w:type="dxa"/>
            <w:vAlign w:val="center"/>
          </w:tcPr>
          <w:p w14:paraId="4530EBC9" w14:textId="35E7325F" w:rsidR="00742F52" w:rsidRDefault="00742F52" w:rsidP="00742F52">
            <w:pPr>
              <w:contextualSpacing/>
              <w:jc w:val="center"/>
              <w:rPr>
                <w:rFonts w:ascii="Poppins" w:hAnsi="Poppins" w:cs="Poppins"/>
                <w:sz w:val="16"/>
                <w:szCs w:val="16"/>
              </w:rPr>
            </w:pPr>
            <w:r>
              <w:rPr>
                <w:rFonts w:ascii="Poppins" w:hAnsi="Poppins" w:cs="Poppins"/>
                <w:sz w:val="16"/>
                <w:szCs w:val="16"/>
              </w:rPr>
              <w:t>20 mL vial</w:t>
            </w:r>
          </w:p>
        </w:tc>
        <w:tc>
          <w:tcPr>
            <w:tcW w:w="3252" w:type="dxa"/>
            <w:vAlign w:val="center"/>
          </w:tcPr>
          <w:p w14:paraId="106D9EBE" w14:textId="77777777" w:rsidR="00742F52" w:rsidRDefault="00742F52" w:rsidP="00742F52">
            <w:pPr>
              <w:contextualSpacing/>
              <w:rPr>
                <w:rFonts w:ascii="Poppins" w:hAnsi="Poppins" w:cs="Poppins"/>
                <w:sz w:val="16"/>
                <w:szCs w:val="16"/>
              </w:rPr>
            </w:pPr>
            <w:r>
              <w:rPr>
                <w:rFonts w:ascii="Poppins" w:hAnsi="Poppins" w:cs="Poppins"/>
                <w:sz w:val="16"/>
                <w:szCs w:val="16"/>
              </w:rPr>
              <w:t xml:space="preserve">0 nM BCE Calibrator   </w:t>
            </w:r>
          </w:p>
        </w:tc>
        <w:tc>
          <w:tcPr>
            <w:tcW w:w="2863" w:type="dxa"/>
            <w:vMerge w:val="restart"/>
            <w:vAlign w:val="center"/>
          </w:tcPr>
          <w:p w14:paraId="00D2698C" w14:textId="6B113D01" w:rsidR="00742F52" w:rsidRPr="00032647" w:rsidRDefault="00742F52" w:rsidP="00742F52">
            <w:pPr>
              <w:contextualSpacing/>
              <w:rPr>
                <w:rFonts w:ascii="Poppins" w:hAnsi="Poppins" w:cs="Poppins"/>
                <w:color w:val="000000"/>
                <w:sz w:val="16"/>
                <w:szCs w:val="16"/>
              </w:rPr>
            </w:pPr>
            <w:r w:rsidRPr="007B00C6">
              <w:rPr>
                <w:rFonts w:ascii="Poppins" w:hAnsi="Poppins" w:cs="Poppins"/>
                <w:color w:val="000000"/>
                <w:sz w:val="16"/>
                <w:szCs w:val="16"/>
              </w:rPr>
              <w:t>Various amounts of purified NTx antigen in stabilized protein diluent.  Contains ProClin™ 300 (0.05%) as a preservative.</w:t>
            </w:r>
          </w:p>
        </w:tc>
      </w:tr>
      <w:tr w:rsidR="00742F52" w14:paraId="14713EA6" w14:textId="77777777" w:rsidTr="00742F52">
        <w:trPr>
          <w:trHeight w:val="576"/>
        </w:trPr>
        <w:tc>
          <w:tcPr>
            <w:tcW w:w="540" w:type="dxa"/>
            <w:vAlign w:val="center"/>
          </w:tcPr>
          <w:p w14:paraId="56A83AAF" w14:textId="1252BF30"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5</w:t>
            </w:r>
          </w:p>
        </w:tc>
        <w:tc>
          <w:tcPr>
            <w:tcW w:w="2430" w:type="dxa"/>
            <w:vAlign w:val="center"/>
          </w:tcPr>
          <w:p w14:paraId="71D4D75B" w14:textId="6FCE4133" w:rsidR="00742F52" w:rsidRDefault="00742F52" w:rsidP="00742F52">
            <w:pPr>
              <w:contextualSpacing/>
              <w:jc w:val="center"/>
              <w:rPr>
                <w:rFonts w:ascii="Poppins" w:hAnsi="Poppins" w:cs="Poppins"/>
                <w:sz w:val="16"/>
                <w:szCs w:val="16"/>
              </w:rPr>
            </w:pPr>
            <w:r>
              <w:rPr>
                <w:noProof/>
              </w:rPr>
              <w:drawing>
                <wp:inline distT="0" distB="0" distL="0" distR="0" wp14:anchorId="6832B855" wp14:editId="7CD674B5">
                  <wp:extent cx="1024255" cy="286385"/>
                  <wp:effectExtent l="0" t="0" r="4445" b="0"/>
                  <wp:docPr id="6561664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1800" w:type="dxa"/>
            <w:vAlign w:val="center"/>
          </w:tcPr>
          <w:p w14:paraId="0D56C216" w14:textId="3CC3E56E"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1ACF63EC" w14:textId="77777777" w:rsidR="00742F52" w:rsidRDefault="00742F52" w:rsidP="00742F52">
            <w:pPr>
              <w:contextualSpacing/>
              <w:rPr>
                <w:rFonts w:ascii="Poppins" w:hAnsi="Poppins" w:cs="Poppins"/>
                <w:sz w:val="16"/>
                <w:szCs w:val="16"/>
              </w:rPr>
            </w:pPr>
            <w:r>
              <w:rPr>
                <w:rFonts w:ascii="Poppins" w:hAnsi="Poppins" w:cs="Poppins"/>
                <w:sz w:val="16"/>
                <w:szCs w:val="16"/>
              </w:rPr>
              <w:t>5 nM BCE Calibrator</w:t>
            </w:r>
          </w:p>
        </w:tc>
        <w:tc>
          <w:tcPr>
            <w:tcW w:w="2863" w:type="dxa"/>
            <w:vMerge/>
            <w:vAlign w:val="center"/>
          </w:tcPr>
          <w:p w14:paraId="54607B91" w14:textId="0C25A248" w:rsidR="00742F52" w:rsidRDefault="00742F52" w:rsidP="00742F52">
            <w:pPr>
              <w:contextualSpacing/>
              <w:rPr>
                <w:rFonts w:ascii="Poppins" w:hAnsi="Poppins" w:cs="Poppins"/>
                <w:sz w:val="16"/>
                <w:szCs w:val="16"/>
              </w:rPr>
            </w:pPr>
          </w:p>
        </w:tc>
      </w:tr>
      <w:tr w:rsidR="00742F52" w14:paraId="54846681" w14:textId="77777777" w:rsidTr="00742F52">
        <w:trPr>
          <w:trHeight w:val="576"/>
        </w:trPr>
        <w:tc>
          <w:tcPr>
            <w:tcW w:w="540" w:type="dxa"/>
            <w:vAlign w:val="center"/>
          </w:tcPr>
          <w:p w14:paraId="4C2435D9" w14:textId="61B81C9B"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10</w:t>
            </w:r>
          </w:p>
        </w:tc>
        <w:tc>
          <w:tcPr>
            <w:tcW w:w="2430" w:type="dxa"/>
            <w:vAlign w:val="center"/>
          </w:tcPr>
          <w:p w14:paraId="6DBEE065" w14:textId="0EE040D7" w:rsidR="00742F52" w:rsidRDefault="00742F52" w:rsidP="00742F52">
            <w:pPr>
              <w:contextualSpacing/>
              <w:jc w:val="center"/>
              <w:rPr>
                <w:rFonts w:ascii="Poppins" w:hAnsi="Poppins" w:cs="Poppins"/>
                <w:sz w:val="16"/>
                <w:szCs w:val="16"/>
              </w:rPr>
            </w:pPr>
            <w:r>
              <w:rPr>
                <w:noProof/>
              </w:rPr>
              <w:drawing>
                <wp:inline distT="0" distB="0" distL="0" distR="0" wp14:anchorId="4FDB4512" wp14:editId="29F5954A">
                  <wp:extent cx="1024255" cy="286385"/>
                  <wp:effectExtent l="0" t="0" r="4445" b="0"/>
                  <wp:docPr id="4111227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1800" w:type="dxa"/>
            <w:vAlign w:val="center"/>
          </w:tcPr>
          <w:p w14:paraId="4EB37329" w14:textId="6FEC7822"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39BB5066" w14:textId="77777777" w:rsidR="00742F52" w:rsidRDefault="00742F52" w:rsidP="00742F52">
            <w:pPr>
              <w:contextualSpacing/>
              <w:rPr>
                <w:rFonts w:ascii="Poppins" w:hAnsi="Poppins" w:cs="Poppins"/>
                <w:sz w:val="16"/>
                <w:szCs w:val="16"/>
              </w:rPr>
            </w:pPr>
            <w:r>
              <w:rPr>
                <w:rFonts w:ascii="Poppins" w:hAnsi="Poppins" w:cs="Poppins"/>
                <w:sz w:val="16"/>
                <w:szCs w:val="16"/>
              </w:rPr>
              <w:t>10 nM BCE Calibrator</w:t>
            </w:r>
          </w:p>
        </w:tc>
        <w:tc>
          <w:tcPr>
            <w:tcW w:w="2863" w:type="dxa"/>
            <w:vMerge/>
            <w:vAlign w:val="center"/>
          </w:tcPr>
          <w:p w14:paraId="5555B818" w14:textId="0749EAA4" w:rsidR="00742F52" w:rsidRDefault="00742F52" w:rsidP="00742F52">
            <w:pPr>
              <w:contextualSpacing/>
              <w:rPr>
                <w:rFonts w:ascii="Poppins" w:hAnsi="Poppins" w:cs="Poppins"/>
                <w:sz w:val="16"/>
                <w:szCs w:val="16"/>
              </w:rPr>
            </w:pPr>
          </w:p>
        </w:tc>
      </w:tr>
      <w:tr w:rsidR="00742F52" w14:paraId="38B15F65" w14:textId="77777777" w:rsidTr="00742F52">
        <w:trPr>
          <w:trHeight w:val="576"/>
        </w:trPr>
        <w:tc>
          <w:tcPr>
            <w:tcW w:w="540" w:type="dxa"/>
            <w:vAlign w:val="center"/>
          </w:tcPr>
          <w:p w14:paraId="434170E2" w14:textId="6105CDEF"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lastRenderedPageBreak/>
              <w:t>20</w:t>
            </w:r>
          </w:p>
        </w:tc>
        <w:tc>
          <w:tcPr>
            <w:tcW w:w="2430" w:type="dxa"/>
            <w:vAlign w:val="center"/>
          </w:tcPr>
          <w:p w14:paraId="041442E6" w14:textId="24329316" w:rsidR="00742F52" w:rsidRDefault="00742F52" w:rsidP="00742F52">
            <w:pPr>
              <w:contextualSpacing/>
              <w:jc w:val="center"/>
              <w:rPr>
                <w:rFonts w:ascii="Poppins" w:hAnsi="Poppins" w:cs="Poppins"/>
                <w:sz w:val="16"/>
                <w:szCs w:val="16"/>
              </w:rPr>
            </w:pPr>
            <w:r>
              <w:rPr>
                <w:noProof/>
              </w:rPr>
              <w:drawing>
                <wp:inline distT="0" distB="0" distL="0" distR="0" wp14:anchorId="5A9A4503" wp14:editId="6B5657C8">
                  <wp:extent cx="1024255" cy="286385"/>
                  <wp:effectExtent l="0" t="0" r="4445" b="0"/>
                  <wp:docPr id="10397073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1800" w:type="dxa"/>
            <w:vAlign w:val="center"/>
          </w:tcPr>
          <w:p w14:paraId="18572F26" w14:textId="52CF7616"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113CED89" w14:textId="77777777" w:rsidR="00742F52" w:rsidRDefault="00742F52" w:rsidP="00742F52">
            <w:pPr>
              <w:contextualSpacing/>
              <w:rPr>
                <w:rFonts w:ascii="Poppins" w:hAnsi="Poppins" w:cs="Poppins"/>
                <w:sz w:val="16"/>
                <w:szCs w:val="16"/>
              </w:rPr>
            </w:pPr>
            <w:r>
              <w:rPr>
                <w:rFonts w:ascii="Poppins" w:hAnsi="Poppins" w:cs="Poppins"/>
                <w:sz w:val="16"/>
                <w:szCs w:val="16"/>
              </w:rPr>
              <w:t>20 nM BCE Calibrator</w:t>
            </w:r>
          </w:p>
        </w:tc>
        <w:tc>
          <w:tcPr>
            <w:tcW w:w="2863" w:type="dxa"/>
            <w:vMerge/>
            <w:vAlign w:val="center"/>
          </w:tcPr>
          <w:p w14:paraId="63B8841E" w14:textId="46143B8A" w:rsidR="00742F52" w:rsidRDefault="00742F52" w:rsidP="00742F52">
            <w:pPr>
              <w:contextualSpacing/>
              <w:rPr>
                <w:rFonts w:ascii="Poppins" w:hAnsi="Poppins" w:cs="Poppins"/>
                <w:sz w:val="16"/>
                <w:szCs w:val="16"/>
              </w:rPr>
            </w:pPr>
          </w:p>
        </w:tc>
      </w:tr>
      <w:tr w:rsidR="00742F52" w14:paraId="2DC2243A" w14:textId="77777777" w:rsidTr="00742F52">
        <w:trPr>
          <w:trHeight w:val="576"/>
        </w:trPr>
        <w:tc>
          <w:tcPr>
            <w:tcW w:w="540" w:type="dxa"/>
            <w:vAlign w:val="center"/>
          </w:tcPr>
          <w:p w14:paraId="189817E6" w14:textId="20EDE04A"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40</w:t>
            </w:r>
          </w:p>
        </w:tc>
        <w:tc>
          <w:tcPr>
            <w:tcW w:w="2430" w:type="dxa"/>
            <w:vAlign w:val="center"/>
          </w:tcPr>
          <w:p w14:paraId="0CFD2698" w14:textId="4094694A" w:rsidR="00742F52" w:rsidRDefault="00742F52" w:rsidP="00742F52">
            <w:pPr>
              <w:contextualSpacing/>
              <w:jc w:val="center"/>
              <w:rPr>
                <w:rFonts w:ascii="Poppins" w:hAnsi="Poppins" w:cs="Poppins"/>
                <w:sz w:val="16"/>
                <w:szCs w:val="16"/>
              </w:rPr>
            </w:pPr>
            <w:r>
              <w:rPr>
                <w:noProof/>
              </w:rPr>
              <w:drawing>
                <wp:inline distT="0" distB="0" distL="0" distR="0" wp14:anchorId="506909E1" wp14:editId="68ACD693">
                  <wp:extent cx="1024255" cy="280670"/>
                  <wp:effectExtent l="0" t="0" r="4445" b="5080"/>
                  <wp:docPr id="1789163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1800" w:type="dxa"/>
            <w:vAlign w:val="center"/>
          </w:tcPr>
          <w:p w14:paraId="66BE4A57" w14:textId="2EB64936"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0A97E31B" w14:textId="77777777" w:rsidR="00742F52" w:rsidRDefault="00742F52" w:rsidP="00742F52">
            <w:pPr>
              <w:contextualSpacing/>
              <w:rPr>
                <w:rFonts w:ascii="Poppins" w:hAnsi="Poppins" w:cs="Poppins"/>
                <w:sz w:val="16"/>
                <w:szCs w:val="16"/>
              </w:rPr>
            </w:pPr>
            <w:r>
              <w:rPr>
                <w:rFonts w:ascii="Poppins" w:hAnsi="Poppins" w:cs="Poppins"/>
                <w:sz w:val="16"/>
                <w:szCs w:val="16"/>
              </w:rPr>
              <w:t>40 nM BCE Calibrator</w:t>
            </w:r>
          </w:p>
        </w:tc>
        <w:tc>
          <w:tcPr>
            <w:tcW w:w="2863" w:type="dxa"/>
            <w:vMerge/>
            <w:vAlign w:val="center"/>
          </w:tcPr>
          <w:p w14:paraId="2D36E37E" w14:textId="0C148751" w:rsidR="00742F52" w:rsidRDefault="00742F52" w:rsidP="00742F52">
            <w:pPr>
              <w:contextualSpacing/>
              <w:rPr>
                <w:rFonts w:ascii="Poppins" w:hAnsi="Poppins" w:cs="Poppins"/>
                <w:sz w:val="16"/>
                <w:szCs w:val="16"/>
              </w:rPr>
            </w:pPr>
          </w:p>
        </w:tc>
      </w:tr>
      <w:tr w:rsidR="00742F52" w14:paraId="60354DF7" w14:textId="77777777" w:rsidTr="00742F52">
        <w:trPr>
          <w:trHeight w:val="576"/>
        </w:trPr>
        <w:tc>
          <w:tcPr>
            <w:tcW w:w="540" w:type="dxa"/>
            <w:vAlign w:val="center"/>
          </w:tcPr>
          <w:p w14:paraId="3D482EF5" w14:textId="60C2427C"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I</w:t>
            </w:r>
          </w:p>
        </w:tc>
        <w:tc>
          <w:tcPr>
            <w:tcW w:w="2430" w:type="dxa"/>
            <w:vAlign w:val="center"/>
          </w:tcPr>
          <w:p w14:paraId="5F857AF4" w14:textId="1DD98821" w:rsidR="00742F52" w:rsidRDefault="00742F52" w:rsidP="00742F52">
            <w:pPr>
              <w:contextualSpacing/>
              <w:jc w:val="center"/>
              <w:rPr>
                <w:rFonts w:ascii="Poppins" w:hAnsi="Poppins" w:cs="Poppins"/>
                <w:sz w:val="16"/>
                <w:szCs w:val="16"/>
              </w:rPr>
            </w:pPr>
            <w:r>
              <w:rPr>
                <w:noProof/>
              </w:rPr>
              <w:drawing>
                <wp:inline distT="0" distB="0" distL="0" distR="0" wp14:anchorId="6BDB0EB2" wp14:editId="4DCFC304">
                  <wp:extent cx="1188720" cy="286385"/>
                  <wp:effectExtent l="0" t="0" r="0" b="0"/>
                  <wp:docPr id="126221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1800" w:type="dxa"/>
            <w:vAlign w:val="center"/>
          </w:tcPr>
          <w:p w14:paraId="1ECABF8E" w14:textId="5F0AC707"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640A3285" w14:textId="77777777" w:rsidR="00742F52" w:rsidRDefault="00742F52" w:rsidP="00742F52">
            <w:pPr>
              <w:contextualSpacing/>
              <w:rPr>
                <w:rFonts w:ascii="Poppins" w:hAnsi="Poppins" w:cs="Poppins"/>
                <w:sz w:val="16"/>
                <w:szCs w:val="16"/>
              </w:rPr>
            </w:pPr>
            <w:r>
              <w:rPr>
                <w:rFonts w:ascii="Poppins" w:hAnsi="Poppins" w:cs="Poppins"/>
                <w:sz w:val="16"/>
                <w:szCs w:val="16"/>
              </w:rPr>
              <w:t>Level I Serum Control</w:t>
            </w:r>
          </w:p>
        </w:tc>
        <w:tc>
          <w:tcPr>
            <w:tcW w:w="2863" w:type="dxa"/>
            <w:vMerge w:val="restart"/>
            <w:vAlign w:val="center"/>
          </w:tcPr>
          <w:p w14:paraId="6323670D" w14:textId="6CB8E06A" w:rsidR="00742F52" w:rsidRDefault="00742F52" w:rsidP="00742F52">
            <w:pPr>
              <w:contextualSpacing/>
              <w:rPr>
                <w:rFonts w:ascii="Poppins" w:hAnsi="Poppins" w:cs="Poppins"/>
                <w:sz w:val="16"/>
                <w:szCs w:val="16"/>
              </w:rPr>
            </w:pPr>
            <w:r w:rsidRPr="007B00C6">
              <w:rPr>
                <w:rFonts w:ascii="Poppins" w:hAnsi="Poppins" w:cs="Poppins"/>
                <w:sz w:val="16"/>
                <w:szCs w:val="16"/>
              </w:rPr>
              <w:t>Human serum material with known NTx concentration.  ProClin™ 300 (0.10%) included as a preservative.</w:t>
            </w:r>
          </w:p>
        </w:tc>
      </w:tr>
      <w:tr w:rsidR="00742F52" w14:paraId="3040D5CB" w14:textId="77777777" w:rsidTr="00742F52">
        <w:trPr>
          <w:trHeight w:val="576"/>
        </w:trPr>
        <w:tc>
          <w:tcPr>
            <w:tcW w:w="540" w:type="dxa"/>
            <w:vAlign w:val="center"/>
          </w:tcPr>
          <w:p w14:paraId="1113DF70" w14:textId="42C2EBE7" w:rsidR="00742F52" w:rsidRPr="00742F52" w:rsidRDefault="00742F52" w:rsidP="00742F52">
            <w:pPr>
              <w:contextualSpacing/>
              <w:jc w:val="center"/>
              <w:rPr>
                <w:rFonts w:ascii="Poppins" w:hAnsi="Poppins" w:cs="Poppins"/>
                <w:noProof/>
                <w:sz w:val="20"/>
                <w:szCs w:val="20"/>
              </w:rPr>
            </w:pPr>
            <w:r w:rsidRPr="00742F52">
              <w:rPr>
                <w:rFonts w:ascii="Poppins" w:hAnsi="Poppins" w:cs="Poppins"/>
                <w:noProof/>
                <w:sz w:val="20"/>
                <w:szCs w:val="20"/>
              </w:rPr>
              <w:t>I</w:t>
            </w:r>
            <w:r>
              <w:rPr>
                <w:rFonts w:ascii="Poppins" w:hAnsi="Poppins" w:cs="Poppins"/>
                <w:noProof/>
                <w:sz w:val="20"/>
                <w:szCs w:val="20"/>
              </w:rPr>
              <w:t>I</w:t>
            </w:r>
          </w:p>
        </w:tc>
        <w:tc>
          <w:tcPr>
            <w:tcW w:w="2430" w:type="dxa"/>
            <w:vAlign w:val="center"/>
          </w:tcPr>
          <w:p w14:paraId="7FBB4506" w14:textId="153E4619" w:rsidR="00742F52" w:rsidRDefault="00742F52" w:rsidP="00742F52">
            <w:pPr>
              <w:contextualSpacing/>
              <w:jc w:val="center"/>
              <w:rPr>
                <w:rFonts w:ascii="Poppins" w:hAnsi="Poppins" w:cs="Poppins"/>
                <w:sz w:val="16"/>
                <w:szCs w:val="16"/>
              </w:rPr>
            </w:pPr>
            <w:r>
              <w:rPr>
                <w:noProof/>
              </w:rPr>
              <w:drawing>
                <wp:inline distT="0" distB="0" distL="0" distR="0" wp14:anchorId="17826179" wp14:editId="7FE2131B">
                  <wp:extent cx="1188720" cy="286385"/>
                  <wp:effectExtent l="0" t="0" r="0" b="0"/>
                  <wp:docPr id="21454037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1800" w:type="dxa"/>
            <w:vAlign w:val="center"/>
          </w:tcPr>
          <w:p w14:paraId="4E53EE51" w14:textId="31C05446" w:rsidR="00742F52" w:rsidRDefault="00742F52" w:rsidP="00742F52">
            <w:pPr>
              <w:contextualSpacing/>
              <w:jc w:val="center"/>
              <w:rPr>
                <w:rFonts w:ascii="Poppins" w:hAnsi="Poppins" w:cs="Poppins"/>
                <w:sz w:val="16"/>
                <w:szCs w:val="16"/>
              </w:rPr>
            </w:pPr>
            <w:r>
              <w:rPr>
                <w:rFonts w:ascii="Poppins" w:hAnsi="Poppins" w:cs="Poppins"/>
                <w:sz w:val="16"/>
                <w:szCs w:val="16"/>
              </w:rPr>
              <w:t>0.4 mL vial</w:t>
            </w:r>
          </w:p>
        </w:tc>
        <w:tc>
          <w:tcPr>
            <w:tcW w:w="3252" w:type="dxa"/>
            <w:vAlign w:val="center"/>
          </w:tcPr>
          <w:p w14:paraId="4CFDD716" w14:textId="77777777" w:rsidR="00742F52" w:rsidRDefault="00742F52" w:rsidP="00742F52">
            <w:pPr>
              <w:contextualSpacing/>
              <w:rPr>
                <w:rFonts w:ascii="Poppins" w:hAnsi="Poppins" w:cs="Poppins"/>
                <w:sz w:val="16"/>
                <w:szCs w:val="16"/>
              </w:rPr>
            </w:pPr>
            <w:r>
              <w:rPr>
                <w:rFonts w:ascii="Poppins" w:hAnsi="Poppins" w:cs="Poppins"/>
                <w:sz w:val="16"/>
                <w:szCs w:val="16"/>
              </w:rPr>
              <w:t>Level II Serum Control</w:t>
            </w:r>
          </w:p>
        </w:tc>
        <w:tc>
          <w:tcPr>
            <w:tcW w:w="2863" w:type="dxa"/>
            <w:vMerge/>
            <w:vAlign w:val="center"/>
          </w:tcPr>
          <w:p w14:paraId="04EA6C13" w14:textId="6C81DCBB" w:rsidR="00742F52" w:rsidRDefault="00742F52" w:rsidP="00742F52">
            <w:pPr>
              <w:contextualSpacing/>
              <w:rPr>
                <w:rFonts w:ascii="Poppins" w:hAnsi="Poppins" w:cs="Poppins"/>
                <w:sz w:val="16"/>
                <w:szCs w:val="16"/>
              </w:rPr>
            </w:pPr>
          </w:p>
        </w:tc>
      </w:tr>
      <w:tr w:rsidR="00742F52" w14:paraId="028C759A" w14:textId="77777777" w:rsidTr="00742F52">
        <w:trPr>
          <w:trHeight w:val="576"/>
        </w:trPr>
        <w:tc>
          <w:tcPr>
            <w:tcW w:w="540" w:type="dxa"/>
            <w:vAlign w:val="center"/>
          </w:tcPr>
          <w:p w14:paraId="4ACA3BCA" w14:textId="77777777" w:rsidR="00742F52" w:rsidRPr="00742F52" w:rsidRDefault="00742F52" w:rsidP="00742F52">
            <w:pPr>
              <w:contextualSpacing/>
              <w:jc w:val="center"/>
              <w:rPr>
                <w:rFonts w:ascii="Poppins" w:hAnsi="Poppins" w:cs="Poppins"/>
                <w:sz w:val="20"/>
                <w:szCs w:val="20"/>
              </w:rPr>
            </w:pPr>
          </w:p>
        </w:tc>
        <w:tc>
          <w:tcPr>
            <w:tcW w:w="2430" w:type="dxa"/>
            <w:vAlign w:val="center"/>
          </w:tcPr>
          <w:p w14:paraId="0CED83F1" w14:textId="6EC12AB4" w:rsidR="00742F52" w:rsidRDefault="00170639" w:rsidP="00742F52">
            <w:pPr>
              <w:contextualSpacing/>
              <w:jc w:val="center"/>
              <w:rPr>
                <w:rFonts w:ascii="Poppins" w:hAnsi="Poppins" w:cs="Poppins"/>
                <w:sz w:val="16"/>
                <w:szCs w:val="16"/>
              </w:rPr>
            </w:pPr>
            <w:r>
              <w:rPr>
                <w:rFonts w:ascii="Poppins" w:hAnsi="Poppins" w:cs="Poppins"/>
                <w:sz w:val="16"/>
                <w:szCs w:val="16"/>
              </w:rPr>
              <w:t>Plate Sealers</w:t>
            </w:r>
          </w:p>
        </w:tc>
        <w:tc>
          <w:tcPr>
            <w:tcW w:w="1800" w:type="dxa"/>
            <w:vAlign w:val="center"/>
          </w:tcPr>
          <w:p w14:paraId="0EEB7B10" w14:textId="3E70927B" w:rsidR="00742F52" w:rsidRDefault="00742F52" w:rsidP="00742F52">
            <w:pPr>
              <w:contextualSpacing/>
              <w:jc w:val="center"/>
              <w:rPr>
                <w:rFonts w:ascii="Poppins" w:hAnsi="Poppins" w:cs="Poppins"/>
                <w:sz w:val="16"/>
                <w:szCs w:val="16"/>
              </w:rPr>
            </w:pPr>
            <w:r>
              <w:rPr>
                <w:rFonts w:ascii="Poppins" w:hAnsi="Poppins" w:cs="Poppins"/>
                <w:sz w:val="16"/>
                <w:szCs w:val="16"/>
              </w:rPr>
              <w:t>1 Pad</w:t>
            </w:r>
          </w:p>
        </w:tc>
        <w:tc>
          <w:tcPr>
            <w:tcW w:w="6115" w:type="dxa"/>
            <w:gridSpan w:val="2"/>
            <w:vAlign w:val="center"/>
          </w:tcPr>
          <w:p w14:paraId="7ADCC55D" w14:textId="09528679" w:rsidR="00742F52" w:rsidRDefault="00742F52" w:rsidP="00742F52">
            <w:pPr>
              <w:contextualSpacing/>
              <w:rPr>
                <w:rFonts w:ascii="Poppins" w:hAnsi="Poppins" w:cs="Poppins"/>
                <w:sz w:val="16"/>
                <w:szCs w:val="16"/>
              </w:rPr>
            </w:pPr>
            <w:r>
              <w:rPr>
                <w:rFonts w:ascii="Poppins" w:hAnsi="Poppins" w:cs="Poppins"/>
                <w:sz w:val="16"/>
                <w:szCs w:val="16"/>
              </w:rPr>
              <w:t>Plate Sealers</w:t>
            </w:r>
          </w:p>
        </w:tc>
      </w:tr>
    </w:tbl>
    <w:p w14:paraId="54BBCCBF" w14:textId="5E61B334" w:rsidR="008E0E45" w:rsidRPr="00B33D9F" w:rsidRDefault="00667272" w:rsidP="00B33D9F">
      <w:pPr>
        <w:spacing w:before="120"/>
        <w:jc w:val="both"/>
        <w:rPr>
          <w:rFonts w:ascii="Poppins" w:hAnsi="Poppins" w:cs="Poppins"/>
          <w:bCs/>
          <w:sz w:val="16"/>
          <w:szCs w:val="16"/>
        </w:rPr>
      </w:pPr>
      <w:r w:rsidRPr="00BA5605">
        <w:rPr>
          <w:rFonts w:ascii="Poppins" w:hAnsi="Poppins" w:cs="Poppins"/>
          <w:b/>
          <w:sz w:val="16"/>
          <w:szCs w:val="16"/>
        </w:rPr>
        <w:t>NOTE:</w:t>
      </w:r>
      <w:r w:rsidR="00DE20C9">
        <w:rPr>
          <w:rFonts w:ascii="Poppins" w:hAnsi="Poppins" w:cs="Poppins"/>
          <w:bCs/>
          <w:sz w:val="16"/>
          <w:szCs w:val="16"/>
        </w:rPr>
        <w:t xml:space="preserve"> </w:t>
      </w:r>
      <w:r w:rsidR="005D188E" w:rsidRPr="005D188E">
        <w:rPr>
          <w:rFonts w:ascii="Poppins" w:hAnsi="Poppins" w:cs="Poppins"/>
          <w:bCs/>
          <w:sz w:val="16"/>
          <w:szCs w:val="16"/>
        </w:rPr>
        <w:t>Note: Bovine Serum or Bovine Serum Albumin is present in some components</w:t>
      </w:r>
    </w:p>
    <w:p w14:paraId="627812C2" w14:textId="6524B5EB" w:rsidR="00C17799" w:rsidRPr="00EB35F9" w:rsidRDefault="00C17799" w:rsidP="005D188E">
      <w:pPr>
        <w:spacing w:before="120"/>
        <w:jc w:val="both"/>
        <w:rPr>
          <w:rFonts w:ascii="Poppins" w:hAnsi="Poppins" w:cs="Poppins"/>
          <w:b/>
          <w:color w:val="E36C0A" w:themeColor="accent6" w:themeShade="BF"/>
        </w:rPr>
      </w:pPr>
      <w:r w:rsidRPr="00EB35F9">
        <w:rPr>
          <w:rFonts w:ascii="Poppins" w:hAnsi="Poppins" w:cs="Poppins"/>
          <w:b/>
          <w:color w:val="E36C0A" w:themeColor="accent6" w:themeShade="BF"/>
        </w:rPr>
        <w:t>MATERIALS REQUIRED BUT NOT PROVIDED</w:t>
      </w:r>
    </w:p>
    <w:p w14:paraId="4F5254A3"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 xml:space="preserve">Single and multichannel pipettes capable of delivering 25 </w:t>
      </w:r>
      <w:r w:rsidRPr="006C455C">
        <w:rPr>
          <w:rFonts w:ascii="Cambria" w:hAnsi="Cambria" w:cs="Cambria"/>
          <w:sz w:val="16"/>
          <w:szCs w:val="16"/>
        </w:rPr>
        <w:t>μ</w:t>
      </w:r>
      <w:r w:rsidRPr="006C455C">
        <w:rPr>
          <w:rFonts w:ascii="Poppins" w:hAnsi="Poppins" w:cs="Poppins"/>
          <w:sz w:val="16"/>
          <w:szCs w:val="16"/>
        </w:rPr>
        <w:t xml:space="preserve">L, 100 </w:t>
      </w:r>
      <w:r w:rsidRPr="006C455C">
        <w:rPr>
          <w:rFonts w:ascii="Cambria" w:hAnsi="Cambria" w:cs="Cambria"/>
          <w:sz w:val="16"/>
          <w:szCs w:val="16"/>
        </w:rPr>
        <w:t>μ</w:t>
      </w:r>
      <w:r w:rsidRPr="006C455C">
        <w:rPr>
          <w:rFonts w:ascii="Poppins" w:hAnsi="Poppins" w:cs="Poppins"/>
          <w:sz w:val="16"/>
          <w:szCs w:val="16"/>
        </w:rPr>
        <w:t xml:space="preserve">L and 200 </w:t>
      </w:r>
      <w:r w:rsidRPr="006C455C">
        <w:rPr>
          <w:rFonts w:ascii="Cambria" w:hAnsi="Cambria" w:cs="Cambria"/>
          <w:sz w:val="16"/>
          <w:szCs w:val="16"/>
        </w:rPr>
        <w:t>μ</w:t>
      </w:r>
      <w:r w:rsidRPr="006C455C">
        <w:rPr>
          <w:rFonts w:ascii="Poppins" w:hAnsi="Poppins" w:cs="Poppins"/>
          <w:sz w:val="16"/>
          <w:szCs w:val="16"/>
        </w:rPr>
        <w:t>L volumes.</w:t>
      </w:r>
    </w:p>
    <w:p w14:paraId="2485DB8A"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Disposable pipet tips.</w:t>
      </w:r>
    </w:p>
    <w:p w14:paraId="3E440D4E"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Disposable plastic containers for reagent mixing and pipetting reservoirs.</w:t>
      </w:r>
    </w:p>
    <w:p w14:paraId="53BF50D0"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Automated microwell washer.</w:t>
      </w:r>
    </w:p>
    <w:p w14:paraId="6D8C0F7B"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Microwell or microstrip spectrophotometric reader. The reader must read at 450</w:t>
      </w:r>
      <w:r>
        <w:rPr>
          <w:rFonts w:ascii="Poppins" w:hAnsi="Poppins" w:cs="Poppins"/>
          <w:sz w:val="16"/>
          <w:szCs w:val="16"/>
        </w:rPr>
        <w:t xml:space="preserve"> </w:t>
      </w:r>
      <w:r w:rsidRPr="006C455C">
        <w:rPr>
          <w:rFonts w:ascii="Poppins" w:hAnsi="Poppins" w:cs="Poppins"/>
          <w:sz w:val="16"/>
          <w:szCs w:val="16"/>
        </w:rPr>
        <w:t>nm with a 630 nm reference filter and detect absorbances from 0 to</w:t>
      </w:r>
      <w:r>
        <w:rPr>
          <w:rFonts w:ascii="Poppins" w:hAnsi="Poppins" w:cs="Poppins"/>
          <w:sz w:val="16"/>
          <w:szCs w:val="16"/>
        </w:rPr>
        <w:t xml:space="preserve"> </w:t>
      </w:r>
      <w:r w:rsidRPr="006C455C">
        <w:rPr>
          <w:rFonts w:ascii="Poppins" w:hAnsi="Poppins" w:cs="Poppins"/>
          <w:sz w:val="16"/>
          <w:szCs w:val="16"/>
        </w:rPr>
        <w:t>3.000</w:t>
      </w:r>
      <w:r>
        <w:rPr>
          <w:rFonts w:ascii="Poppins" w:hAnsi="Poppins" w:cs="Poppins"/>
          <w:sz w:val="16"/>
          <w:szCs w:val="16"/>
        </w:rPr>
        <w:t xml:space="preserve"> (or greater) </w:t>
      </w:r>
      <w:r w:rsidRPr="006C455C">
        <w:rPr>
          <w:rFonts w:ascii="Poppins" w:hAnsi="Poppins" w:cs="Poppins"/>
          <w:sz w:val="16"/>
          <w:szCs w:val="16"/>
        </w:rPr>
        <w:t>optical density units.</w:t>
      </w:r>
    </w:p>
    <w:p w14:paraId="313ACC4F" w14:textId="77777777" w:rsidR="00F019AA" w:rsidRPr="006C455C" w:rsidRDefault="00F019AA" w:rsidP="00F019AA">
      <w:pPr>
        <w:pStyle w:val="ListParagraph"/>
        <w:numPr>
          <w:ilvl w:val="0"/>
          <w:numId w:val="21"/>
        </w:numPr>
        <w:rPr>
          <w:rFonts w:ascii="Poppins" w:hAnsi="Poppins" w:cs="Poppins"/>
          <w:sz w:val="16"/>
          <w:szCs w:val="16"/>
        </w:rPr>
      </w:pPr>
      <w:r w:rsidRPr="006C455C">
        <w:rPr>
          <w:rFonts w:ascii="Poppins" w:hAnsi="Poppins" w:cs="Poppins"/>
          <w:sz w:val="16"/>
          <w:szCs w:val="16"/>
        </w:rPr>
        <w:t>Software capable of calculating a 4-parameter curve fit.</w:t>
      </w:r>
    </w:p>
    <w:p w14:paraId="37BCB875" w14:textId="77777777" w:rsidR="00F019AA" w:rsidRDefault="00F019AA" w:rsidP="00F019AA">
      <w:pPr>
        <w:pStyle w:val="ListParagraph"/>
        <w:numPr>
          <w:ilvl w:val="0"/>
          <w:numId w:val="21"/>
        </w:numPr>
        <w:jc w:val="both"/>
        <w:rPr>
          <w:rFonts w:ascii="Poppins" w:hAnsi="Poppins" w:cs="Poppins"/>
          <w:sz w:val="16"/>
          <w:szCs w:val="16"/>
        </w:rPr>
      </w:pPr>
      <w:r w:rsidRPr="006C455C">
        <w:rPr>
          <w:rFonts w:ascii="Poppins" w:hAnsi="Poppins" w:cs="Poppins"/>
          <w:sz w:val="16"/>
          <w:szCs w:val="16"/>
        </w:rPr>
        <w:t>Deionized water.</w:t>
      </w:r>
    </w:p>
    <w:p w14:paraId="2F095343" w14:textId="2F312923" w:rsidR="00F019AA" w:rsidRPr="008E0E45" w:rsidRDefault="00F019AA" w:rsidP="008E0E45">
      <w:pPr>
        <w:pStyle w:val="ListParagraph"/>
        <w:numPr>
          <w:ilvl w:val="0"/>
          <w:numId w:val="21"/>
        </w:numPr>
        <w:jc w:val="both"/>
        <w:rPr>
          <w:rFonts w:ascii="Poppins" w:hAnsi="Poppins" w:cs="Poppins"/>
          <w:sz w:val="16"/>
          <w:szCs w:val="16"/>
        </w:rPr>
      </w:pPr>
      <w:r>
        <w:rPr>
          <w:rFonts w:ascii="Poppins" w:hAnsi="Poppins" w:cs="Poppins"/>
          <w:sz w:val="16"/>
          <w:szCs w:val="16"/>
        </w:rPr>
        <w:t>Microtubes or equivalent.</w:t>
      </w:r>
    </w:p>
    <w:p w14:paraId="04656E3A" w14:textId="72F1F9DF" w:rsidR="00F019AA" w:rsidRPr="00F019AA" w:rsidRDefault="00C17799" w:rsidP="00891FE0">
      <w:pPr>
        <w:spacing w:before="240"/>
        <w:rPr>
          <w:rFonts w:ascii="Poppins" w:hAnsi="Poppins" w:cs="Poppins"/>
          <w:b/>
          <w:color w:val="E36C0A" w:themeColor="accent6" w:themeShade="BF"/>
          <w:sz w:val="16"/>
          <w:szCs w:val="16"/>
        </w:rPr>
      </w:pPr>
      <w:r w:rsidRPr="00EB35F9">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F019AA" w:rsidRPr="004B7BC0" w14:paraId="713497ED" w14:textId="77777777" w:rsidTr="00100ABB">
        <w:trPr>
          <w:trHeight w:val="58"/>
        </w:trPr>
        <w:tc>
          <w:tcPr>
            <w:tcW w:w="1553" w:type="dxa"/>
            <w:vAlign w:val="center"/>
          </w:tcPr>
          <w:p w14:paraId="62F4295B" w14:textId="77777777" w:rsidR="00F019AA" w:rsidRPr="00642497" w:rsidRDefault="00F019AA" w:rsidP="00100ABB">
            <w:pPr>
              <w:jc w:val="center"/>
              <w:rPr>
                <w:rFonts w:ascii="Poppins" w:hAnsi="Poppins" w:cs="Poppins"/>
                <w:sz w:val="16"/>
                <w:szCs w:val="16"/>
              </w:rPr>
            </w:pPr>
            <w:r w:rsidRPr="003D5D51">
              <w:rPr>
                <w:rFonts w:ascii="Poppins" w:hAnsi="Poppins" w:cs="Poppins"/>
                <w:noProof/>
                <w:sz w:val="16"/>
                <w:szCs w:val="16"/>
              </w:rPr>
              <w:drawing>
                <wp:inline distT="0" distB="0" distL="0" distR="0" wp14:anchorId="1B617F35" wp14:editId="0659D91E">
                  <wp:extent cx="519784" cy="291258"/>
                  <wp:effectExtent l="0" t="0" r="1270" b="1270"/>
                  <wp:docPr id="1588137525" name="Picture 1588137525" descr="A picture containing font, line, symbol, design&#10;&#10;Description automatically generated">
                    <a:extLst xmlns:a="http://schemas.openxmlformats.org/drawingml/2006/main">
                      <a:ext uri="{FF2B5EF4-FFF2-40B4-BE49-F238E27FC236}">
                        <a16:creationId xmlns:a16="http://schemas.microsoft.com/office/drawing/2014/main" id="{C20FA4B0-A37D-34A2-4EF8-11E3C8F35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font, line, symbol, design&#10;&#10;Description automatically generated">
                            <a:extLst>
                              <a:ext uri="{FF2B5EF4-FFF2-40B4-BE49-F238E27FC236}">
                                <a16:creationId xmlns:a16="http://schemas.microsoft.com/office/drawing/2014/main" id="{C20FA4B0-A37D-34A2-4EF8-11E3C8F35855}"/>
                              </a:ext>
                            </a:extLst>
                          </pic:cNvPr>
                          <pic:cNvPicPr>
                            <a:picLocks noChangeAspect="1"/>
                          </pic:cNvPicPr>
                        </pic:nvPicPr>
                        <pic:blipFill>
                          <a:blip r:embed="rId28"/>
                          <a:stretch>
                            <a:fillRect/>
                          </a:stretch>
                        </pic:blipFill>
                        <pic:spPr>
                          <a:xfrm>
                            <a:off x="0" y="0"/>
                            <a:ext cx="545241" cy="305523"/>
                          </a:xfrm>
                          <a:prstGeom prst="rect">
                            <a:avLst/>
                          </a:prstGeom>
                        </pic:spPr>
                      </pic:pic>
                    </a:graphicData>
                  </a:graphic>
                </wp:inline>
              </w:drawing>
            </w:r>
          </w:p>
        </w:tc>
        <w:tc>
          <w:tcPr>
            <w:tcW w:w="9247" w:type="dxa"/>
            <w:vAlign w:val="center"/>
          </w:tcPr>
          <w:p w14:paraId="4BE37CB9" w14:textId="77777777" w:rsidR="00F019AA" w:rsidRPr="004B7BC0" w:rsidRDefault="00F019AA" w:rsidP="00100ABB">
            <w:pPr>
              <w:rPr>
                <w:rFonts w:ascii="Poppins" w:hAnsi="Poppins" w:cs="Poppins"/>
                <w:sz w:val="16"/>
                <w:szCs w:val="16"/>
              </w:rPr>
            </w:pPr>
            <w:r w:rsidRPr="004B7BC0">
              <w:rPr>
                <w:rFonts w:ascii="Poppins" w:hAnsi="Poppins" w:cs="Poppins"/>
                <w:sz w:val="16"/>
                <w:szCs w:val="16"/>
              </w:rPr>
              <w:t xml:space="preserve">When not in use, the </w:t>
            </w:r>
            <w:r>
              <w:rPr>
                <w:rFonts w:ascii="Poppins" w:hAnsi="Poppins" w:cs="Poppins"/>
                <w:sz w:val="16"/>
                <w:szCs w:val="16"/>
              </w:rPr>
              <w:t xml:space="preserve">kit should be stored </w:t>
            </w:r>
            <w:r w:rsidRPr="004B7BC0">
              <w:rPr>
                <w:rFonts w:ascii="Poppins" w:hAnsi="Poppins" w:cs="Poppins"/>
                <w:sz w:val="16"/>
                <w:szCs w:val="16"/>
              </w:rPr>
              <w:t xml:space="preserve">at 2 </w:t>
            </w:r>
            <w:r>
              <w:rPr>
                <w:rFonts w:ascii="Poppins" w:hAnsi="Poppins" w:cs="Poppins"/>
                <w:sz w:val="16"/>
                <w:szCs w:val="16"/>
              </w:rPr>
              <w:t>–</w:t>
            </w:r>
            <w:r w:rsidRPr="004B7BC0">
              <w:rPr>
                <w:rFonts w:ascii="Poppins" w:hAnsi="Poppins" w:cs="Poppins"/>
                <w:sz w:val="16"/>
                <w:szCs w:val="16"/>
              </w:rPr>
              <w:t xml:space="preserve"> 8</w:t>
            </w:r>
            <w:r>
              <w:rPr>
                <w:rFonts w:ascii="Poppins" w:hAnsi="Poppins" w:cs="Poppins"/>
                <w:sz w:val="16"/>
                <w:szCs w:val="16"/>
              </w:rPr>
              <w:t xml:space="preserve"> </w:t>
            </w:r>
            <w:r w:rsidRPr="004B7BC0">
              <w:rPr>
                <w:rFonts w:ascii="Poppins" w:hAnsi="Poppins" w:cs="Poppins"/>
                <w:sz w:val="16"/>
                <w:szCs w:val="16"/>
              </w:rPr>
              <w:t xml:space="preserve">°C. </w:t>
            </w:r>
            <w:r>
              <w:rPr>
                <w:rFonts w:ascii="Poppins" w:hAnsi="Poppins" w:cs="Poppins"/>
                <w:sz w:val="16"/>
                <w:szCs w:val="16"/>
              </w:rPr>
              <w:t xml:space="preserve">  Reagents must be allowed to reach room temperature before use.   Do not expose the reagents to temperatures greater than 30 </w:t>
            </w:r>
            <w:r w:rsidRPr="004B7BC0">
              <w:rPr>
                <w:rFonts w:ascii="Poppins" w:hAnsi="Poppins" w:cs="Poppins"/>
                <w:sz w:val="16"/>
                <w:szCs w:val="16"/>
              </w:rPr>
              <w:t>°C</w:t>
            </w:r>
            <w:r>
              <w:rPr>
                <w:rFonts w:ascii="Poppins" w:hAnsi="Poppins" w:cs="Poppins"/>
                <w:sz w:val="16"/>
                <w:szCs w:val="16"/>
              </w:rPr>
              <w:t xml:space="preserve"> or less than 2 </w:t>
            </w:r>
            <w:r w:rsidRPr="004B7BC0">
              <w:rPr>
                <w:rFonts w:ascii="Poppins" w:hAnsi="Poppins" w:cs="Poppins"/>
                <w:sz w:val="16"/>
                <w:szCs w:val="16"/>
              </w:rPr>
              <w:t>°C</w:t>
            </w:r>
            <w:r>
              <w:rPr>
                <w:rFonts w:ascii="Poppins" w:hAnsi="Poppins" w:cs="Poppins"/>
                <w:sz w:val="16"/>
                <w:szCs w:val="16"/>
              </w:rPr>
              <w:t>.</w:t>
            </w:r>
          </w:p>
        </w:tc>
      </w:tr>
      <w:tr w:rsidR="00F019AA" w:rsidRPr="004B7BC0" w14:paraId="385E7955" w14:textId="77777777" w:rsidTr="00100ABB">
        <w:trPr>
          <w:trHeight w:val="58"/>
        </w:trPr>
        <w:tc>
          <w:tcPr>
            <w:tcW w:w="1553" w:type="dxa"/>
            <w:tcBorders>
              <w:bottom w:val="single" w:sz="4" w:space="0" w:color="auto"/>
            </w:tcBorders>
            <w:vAlign w:val="center"/>
          </w:tcPr>
          <w:p w14:paraId="09B54D52" w14:textId="77777777" w:rsidR="00F019AA" w:rsidRPr="00642497" w:rsidRDefault="00F019AA" w:rsidP="00100ABB">
            <w:pPr>
              <w:jc w:val="center"/>
              <w:rPr>
                <w:rFonts w:ascii="Poppins" w:hAnsi="Poppins" w:cs="Poppins"/>
                <w:sz w:val="16"/>
                <w:szCs w:val="16"/>
              </w:rPr>
            </w:pPr>
            <w:r w:rsidRPr="003D5D51">
              <w:rPr>
                <w:rFonts w:ascii="Poppins" w:hAnsi="Poppins" w:cs="Poppins"/>
                <w:noProof/>
                <w:sz w:val="16"/>
                <w:szCs w:val="16"/>
              </w:rPr>
              <w:drawing>
                <wp:inline distT="0" distB="0" distL="0" distR="0" wp14:anchorId="3FEB049A" wp14:editId="361C6455">
                  <wp:extent cx="553085" cy="290830"/>
                  <wp:effectExtent l="0" t="0" r="5715" b="1270"/>
                  <wp:docPr id="7" name="Picture 6" descr="A picture containing font, line, symbol, design&#10;&#10;Description automatically generated">
                    <a:extLst xmlns:a="http://schemas.openxmlformats.org/drawingml/2006/main">
                      <a:ext uri="{FF2B5EF4-FFF2-40B4-BE49-F238E27FC236}">
                        <a16:creationId xmlns:a16="http://schemas.microsoft.com/office/drawing/2014/main" id="{788A8CE3-0261-951B-9F3E-0AD8C0173E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font, line, symbol, design&#10;&#10;Description automatically generated">
                            <a:extLst>
                              <a:ext uri="{FF2B5EF4-FFF2-40B4-BE49-F238E27FC236}">
                                <a16:creationId xmlns:a16="http://schemas.microsoft.com/office/drawing/2014/main" id="{788A8CE3-0261-951B-9F3E-0AD8C0173E25}"/>
                              </a:ext>
                            </a:extLst>
                          </pic:cNvPr>
                          <pic:cNvPicPr>
                            <a:picLocks noChangeAspect="1"/>
                          </pic:cNvPicPr>
                        </pic:nvPicPr>
                        <pic:blipFill>
                          <a:blip r:embed="rId29"/>
                          <a:stretch>
                            <a:fillRect/>
                          </a:stretch>
                        </pic:blipFill>
                        <pic:spPr>
                          <a:xfrm>
                            <a:off x="0" y="0"/>
                            <a:ext cx="557889" cy="293356"/>
                          </a:xfrm>
                          <a:prstGeom prst="rect">
                            <a:avLst/>
                          </a:prstGeom>
                        </pic:spPr>
                      </pic:pic>
                    </a:graphicData>
                  </a:graphic>
                </wp:inline>
              </w:drawing>
            </w:r>
          </w:p>
        </w:tc>
        <w:tc>
          <w:tcPr>
            <w:tcW w:w="9247" w:type="dxa"/>
            <w:vAlign w:val="center"/>
          </w:tcPr>
          <w:p w14:paraId="0B63FDC3" w14:textId="77777777" w:rsidR="00F019AA" w:rsidRDefault="00F019AA" w:rsidP="00100ABB">
            <w:pPr>
              <w:rPr>
                <w:rFonts w:ascii="Poppins" w:hAnsi="Poppins" w:cs="Poppins"/>
                <w:sz w:val="16"/>
                <w:szCs w:val="16"/>
              </w:rPr>
            </w:pPr>
            <w:r>
              <w:rPr>
                <w:rFonts w:ascii="Poppins" w:hAnsi="Poppins" w:cs="Poppins"/>
                <w:sz w:val="16"/>
                <w:szCs w:val="16"/>
              </w:rPr>
              <w:t>Diluted (1X) wash solution may be stored at room temperature for up to one month.</w:t>
            </w:r>
          </w:p>
          <w:p w14:paraId="160AD372" w14:textId="77777777" w:rsidR="00F019AA" w:rsidRPr="004B7BC0" w:rsidRDefault="00F019AA" w:rsidP="00100ABB">
            <w:pPr>
              <w:rPr>
                <w:rFonts w:ascii="Poppins" w:hAnsi="Poppins" w:cs="Poppins"/>
                <w:sz w:val="16"/>
                <w:szCs w:val="16"/>
              </w:rPr>
            </w:pPr>
          </w:p>
        </w:tc>
      </w:tr>
    </w:tbl>
    <w:p w14:paraId="2B84177F" w14:textId="7A0A3204" w:rsidR="003968BD" w:rsidRPr="00EB35F9" w:rsidRDefault="003968BD"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PRECAUTIONS</w:t>
      </w:r>
    </w:p>
    <w:p w14:paraId="1025F820" w14:textId="77777777" w:rsidR="000336D7" w:rsidRPr="00022EDA" w:rsidRDefault="000336D7" w:rsidP="000336D7">
      <w:pPr>
        <w:pStyle w:val="ListParagraph"/>
        <w:numPr>
          <w:ilvl w:val="0"/>
          <w:numId w:val="20"/>
        </w:numPr>
        <w:rPr>
          <w:rFonts w:ascii="Poppins" w:hAnsi="Poppins" w:cs="Poppins"/>
          <w:b/>
          <w:bCs/>
          <w:sz w:val="16"/>
          <w:szCs w:val="16"/>
        </w:rPr>
      </w:pPr>
      <w:r w:rsidRPr="00022EDA">
        <w:rPr>
          <w:rFonts w:ascii="Poppins" w:hAnsi="Poppins" w:cs="Poppins"/>
          <w:b/>
          <w:bCs/>
          <w:sz w:val="16"/>
          <w:szCs w:val="16"/>
        </w:rPr>
        <w:t xml:space="preserve">For </w:t>
      </w:r>
      <w:r w:rsidRPr="00022EDA">
        <w:rPr>
          <w:rFonts w:ascii="Poppins" w:hAnsi="Poppins" w:cs="Poppins"/>
          <w:b/>
          <w:bCs/>
          <w:i/>
          <w:iCs/>
          <w:sz w:val="16"/>
          <w:szCs w:val="16"/>
        </w:rPr>
        <w:t>in vitro</w:t>
      </w:r>
      <w:r w:rsidRPr="00022EDA">
        <w:rPr>
          <w:rFonts w:ascii="Poppins" w:hAnsi="Poppins" w:cs="Poppins"/>
          <w:b/>
          <w:bCs/>
          <w:sz w:val="16"/>
          <w:szCs w:val="16"/>
        </w:rPr>
        <w:t xml:space="preserve"> diagnostic use only</w:t>
      </w:r>
      <w:r>
        <w:rPr>
          <w:rFonts w:ascii="Poppins" w:hAnsi="Poppins" w:cs="Poppins"/>
          <w:b/>
          <w:bCs/>
          <w:sz w:val="16"/>
          <w:szCs w:val="16"/>
        </w:rPr>
        <w:t>.</w:t>
      </w:r>
    </w:p>
    <w:p w14:paraId="1BACA1F8"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 xml:space="preserve">The Calibrators and </w:t>
      </w:r>
      <w:r>
        <w:rPr>
          <w:rFonts w:ascii="Poppins" w:hAnsi="Poppins" w:cs="Poppins"/>
          <w:sz w:val="16"/>
          <w:szCs w:val="16"/>
        </w:rPr>
        <w:t>Serum</w:t>
      </w:r>
      <w:r w:rsidRPr="0090741B">
        <w:rPr>
          <w:rFonts w:ascii="Poppins" w:hAnsi="Poppins" w:cs="Poppins"/>
          <w:sz w:val="16"/>
          <w:szCs w:val="16"/>
        </w:rPr>
        <w:t xml:space="preserve"> Controls </w:t>
      </w:r>
      <w:r>
        <w:rPr>
          <w:rFonts w:ascii="Poppins" w:hAnsi="Poppins" w:cs="Poppins"/>
          <w:sz w:val="16"/>
          <w:szCs w:val="16"/>
        </w:rPr>
        <w:t>contain process antigen from human bone tissue and/or human sera</w:t>
      </w:r>
      <w:r w:rsidRPr="0090741B">
        <w:rPr>
          <w:rFonts w:ascii="Poppins" w:hAnsi="Poppins" w:cs="Poppins"/>
          <w:sz w:val="16"/>
          <w:szCs w:val="16"/>
        </w:rPr>
        <w:t>. Although each lot</w:t>
      </w:r>
      <w:r>
        <w:rPr>
          <w:rFonts w:ascii="Poppins" w:hAnsi="Poppins" w:cs="Poppins"/>
          <w:sz w:val="16"/>
          <w:szCs w:val="16"/>
        </w:rPr>
        <w:t xml:space="preserve"> </w:t>
      </w:r>
      <w:r w:rsidRPr="0090741B">
        <w:rPr>
          <w:rFonts w:ascii="Poppins" w:hAnsi="Poppins" w:cs="Poppins"/>
          <w:sz w:val="16"/>
          <w:szCs w:val="16"/>
        </w:rPr>
        <w:t>has been documented to be non-reactive for HIV 1, HIV 2, HBsAg, HCV and RPR by FDA approved methods, these materials should be handled as potentially infectious and should be disposed of properly.</w:t>
      </w:r>
    </w:p>
    <w:p w14:paraId="48CE5F5D"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The Stopping Reagent contains 1N sulfuric acid</w:t>
      </w:r>
      <w:r>
        <w:rPr>
          <w:rFonts w:ascii="Poppins" w:hAnsi="Poppins" w:cs="Poppins"/>
          <w:sz w:val="16"/>
          <w:szCs w:val="16"/>
        </w:rPr>
        <w:t xml:space="preserve">.   </w:t>
      </w:r>
      <w:r w:rsidRPr="0090741B">
        <w:rPr>
          <w:rFonts w:ascii="Poppins" w:hAnsi="Poppins" w:cs="Poppins"/>
          <w:sz w:val="16"/>
          <w:szCs w:val="16"/>
        </w:rPr>
        <w:t>Danger: Causes severe skin burns and eye damage</w:t>
      </w:r>
      <w:r>
        <w:rPr>
          <w:rFonts w:ascii="Poppins" w:hAnsi="Poppins" w:cs="Poppins"/>
          <w:sz w:val="16"/>
          <w:szCs w:val="16"/>
        </w:rPr>
        <w:t>.</w:t>
      </w:r>
    </w:p>
    <w:p w14:paraId="302D5C6F"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 xml:space="preserve">The Chromogen Reagent contains 3,3',5,5'- tetramethylbenzidine and dimethylsulfoxide. </w:t>
      </w:r>
      <w:r>
        <w:rPr>
          <w:rFonts w:ascii="Poppins" w:hAnsi="Poppins" w:cs="Poppins"/>
          <w:sz w:val="16"/>
          <w:szCs w:val="16"/>
        </w:rPr>
        <w:t xml:space="preserve">Warning - </w:t>
      </w:r>
      <w:r w:rsidRPr="0090741B">
        <w:rPr>
          <w:rFonts w:ascii="Poppins" w:hAnsi="Poppins" w:cs="Poppins"/>
          <w:sz w:val="16"/>
          <w:szCs w:val="16"/>
        </w:rPr>
        <w:t>Dimethylsulfoxide is readily absorbed through the skin.</w:t>
      </w:r>
      <w:r>
        <w:rPr>
          <w:rFonts w:ascii="Poppins" w:hAnsi="Poppins" w:cs="Poppins"/>
          <w:sz w:val="16"/>
          <w:szCs w:val="16"/>
        </w:rPr>
        <w:t xml:space="preserve">  May cause skin irritation or serious eye irritation.</w:t>
      </w:r>
    </w:p>
    <w:p w14:paraId="573FEC82" w14:textId="77777777" w:rsidR="000336D7"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ProClin is included as a preservative in most reagents, at concentrations listed in the reagent section.</w:t>
      </w:r>
      <w:r>
        <w:rPr>
          <w:rFonts w:ascii="Poppins" w:hAnsi="Poppins" w:cs="Poppins"/>
          <w:sz w:val="16"/>
          <w:szCs w:val="16"/>
        </w:rPr>
        <w:t xml:space="preserve">  May cause skin irritation or serious eye irritation.</w:t>
      </w:r>
    </w:p>
    <w:p w14:paraId="4A611D6E" w14:textId="77777777" w:rsidR="000336D7" w:rsidRPr="0090741B" w:rsidRDefault="000336D7" w:rsidP="000336D7">
      <w:pPr>
        <w:pStyle w:val="ListParagraph"/>
        <w:numPr>
          <w:ilvl w:val="0"/>
          <w:numId w:val="20"/>
        </w:numPr>
        <w:rPr>
          <w:rFonts w:ascii="Poppins" w:hAnsi="Poppins" w:cs="Poppins"/>
          <w:sz w:val="16"/>
          <w:szCs w:val="16"/>
        </w:rPr>
      </w:pPr>
      <w:r>
        <w:rPr>
          <w:rFonts w:ascii="Poppins" w:hAnsi="Poppins" w:cs="Poppins"/>
          <w:sz w:val="16"/>
          <w:szCs w:val="16"/>
        </w:rPr>
        <w:t>The</w:t>
      </w:r>
      <w:r w:rsidRPr="0090741B">
        <w:rPr>
          <w:rFonts w:ascii="Poppins" w:hAnsi="Poppins" w:cs="Poppins"/>
          <w:sz w:val="16"/>
          <w:szCs w:val="16"/>
        </w:rPr>
        <w:t xml:space="preserve"> </w:t>
      </w:r>
      <w:r>
        <w:rPr>
          <w:rFonts w:ascii="Poppins" w:hAnsi="Poppins" w:cs="Poppins"/>
          <w:sz w:val="16"/>
          <w:szCs w:val="16"/>
        </w:rPr>
        <w:t>Serum</w:t>
      </w:r>
      <w:r w:rsidRPr="0090741B">
        <w:rPr>
          <w:rFonts w:ascii="Poppins" w:hAnsi="Poppins" w:cs="Poppins"/>
          <w:sz w:val="16"/>
          <w:szCs w:val="16"/>
        </w:rPr>
        <w:t xml:space="preserve"> Controls: Contain materials of human origin.</w:t>
      </w:r>
    </w:p>
    <w:p w14:paraId="0AB2D583" w14:textId="77777777" w:rsidR="000336D7" w:rsidRPr="0090741B" w:rsidRDefault="000336D7" w:rsidP="000336D7">
      <w:pPr>
        <w:pStyle w:val="ListParagraph"/>
        <w:numPr>
          <w:ilvl w:val="0"/>
          <w:numId w:val="20"/>
        </w:numPr>
        <w:rPr>
          <w:rFonts w:ascii="Poppins" w:hAnsi="Poppins" w:cs="Poppins"/>
          <w:sz w:val="16"/>
          <w:szCs w:val="16"/>
        </w:rPr>
      </w:pPr>
      <w:r>
        <w:rPr>
          <w:rFonts w:ascii="Poppins" w:hAnsi="Poppins" w:cs="Poppins"/>
          <w:sz w:val="16"/>
          <w:szCs w:val="16"/>
        </w:rPr>
        <w:t>Serum</w:t>
      </w:r>
      <w:r w:rsidRPr="0090741B">
        <w:rPr>
          <w:rFonts w:ascii="Poppins" w:hAnsi="Poppins" w:cs="Poppins"/>
          <w:sz w:val="16"/>
          <w:szCs w:val="16"/>
        </w:rPr>
        <w:t xml:space="preserve"> specimens may contain infectious agents and should be disposed of properly. Decontamination is most effectively accomplished with a 0.5% solution of sodium hypochlorite (1:10 dilution of household bleach) or by autoclaving one hour at 121</w:t>
      </w:r>
      <w:r>
        <w:rPr>
          <w:rFonts w:ascii="Poppins" w:hAnsi="Poppins" w:cs="Poppins"/>
          <w:sz w:val="16"/>
          <w:szCs w:val="16"/>
        </w:rPr>
        <w:t xml:space="preserve"> </w:t>
      </w:r>
      <w:r w:rsidRPr="0090741B">
        <w:rPr>
          <w:rFonts w:ascii="Poppins" w:hAnsi="Poppins" w:cs="Poppins"/>
          <w:sz w:val="16"/>
          <w:szCs w:val="16"/>
        </w:rPr>
        <w:t>°C. Do not autoclave solutions containing sodium hypochlorite. Do not combine sodium hypochlorite solution with acid.</w:t>
      </w:r>
    </w:p>
    <w:p w14:paraId="09B5C02F"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Never pipette reagents or clinical specimens by mouth.</w:t>
      </w:r>
    </w:p>
    <w:p w14:paraId="1C9A8A64"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Wear protective gloves and clothing when handling specimens and reagents. Wash hands thoroughly after use.</w:t>
      </w:r>
    </w:p>
    <w:p w14:paraId="6FBBE475"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Do not use reagents beyond their expiration dates.</w:t>
      </w:r>
    </w:p>
    <w:p w14:paraId="16385D4F" w14:textId="511F4F1A"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 xml:space="preserve">Do not mix components from different lots of the </w:t>
      </w:r>
      <w:r w:rsidR="004324C3">
        <w:rPr>
          <w:rFonts w:ascii="Poppins" w:hAnsi="Poppins" w:cs="Poppins"/>
          <w:sz w:val="16"/>
          <w:szCs w:val="16"/>
        </w:rPr>
        <w:t>NTx Serum</w:t>
      </w:r>
      <w:r w:rsidRPr="0090741B">
        <w:rPr>
          <w:rFonts w:ascii="Poppins" w:hAnsi="Poppins" w:cs="Poppins"/>
          <w:sz w:val="16"/>
          <w:szCs w:val="16"/>
        </w:rPr>
        <w:t xml:space="preserve"> assay kits.</w:t>
      </w:r>
    </w:p>
    <w:p w14:paraId="0B605C78"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Microwell strips must be kept desiccated. Reseal unused microwell strips in the pouch containing desiccant.</w:t>
      </w:r>
    </w:p>
    <w:p w14:paraId="0AC826FD" w14:textId="77777777" w:rsidR="000336D7"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Do not reuse microwells. Dispose of properly after use.</w:t>
      </w:r>
    </w:p>
    <w:p w14:paraId="3B8C5EA6" w14:textId="77777777" w:rsidR="000336D7" w:rsidRPr="0090741B" w:rsidRDefault="000336D7" w:rsidP="000336D7">
      <w:pPr>
        <w:pStyle w:val="ListParagraph"/>
        <w:numPr>
          <w:ilvl w:val="0"/>
          <w:numId w:val="20"/>
        </w:numPr>
        <w:rPr>
          <w:rFonts w:ascii="Poppins" w:hAnsi="Poppins" w:cs="Poppins"/>
          <w:sz w:val="16"/>
          <w:szCs w:val="16"/>
        </w:rPr>
      </w:pPr>
      <w:r w:rsidRPr="0090741B">
        <w:rPr>
          <w:rFonts w:ascii="Poppins" w:hAnsi="Poppins" w:cs="Poppins"/>
          <w:sz w:val="16"/>
          <w:szCs w:val="16"/>
        </w:rPr>
        <w:t>Perform the assay procedure in a controlled laboratory environment that adheres to the stated incubation requirements. Avoid extreme environmental conditions during the procedure.</w:t>
      </w:r>
    </w:p>
    <w:p w14:paraId="1317DCA0" w14:textId="77777777" w:rsidR="000336D7" w:rsidRPr="000F10D0" w:rsidRDefault="000336D7" w:rsidP="000336D7">
      <w:pPr>
        <w:rPr>
          <w:rFonts w:ascii="Poppins" w:hAnsi="Poppins" w:cs="Poppins"/>
          <w:sz w:val="16"/>
          <w:szCs w:val="16"/>
        </w:rPr>
      </w:pPr>
    </w:p>
    <w:p w14:paraId="1577A332" w14:textId="77777777" w:rsidR="000336D7" w:rsidRPr="006C455C" w:rsidRDefault="000336D7" w:rsidP="000336D7">
      <w:pPr>
        <w:ind w:left="360"/>
        <w:rPr>
          <w:rFonts w:ascii="Poppins" w:hAnsi="Poppins" w:cs="Poppins"/>
          <w:b/>
          <w:bCs/>
          <w:sz w:val="16"/>
          <w:szCs w:val="16"/>
        </w:rPr>
      </w:pPr>
      <w:r w:rsidRPr="0090741B">
        <w:rPr>
          <w:rFonts w:ascii="Poppins" w:hAnsi="Poppins" w:cs="Poppins"/>
          <w:b/>
          <w:bCs/>
          <w:sz w:val="16"/>
          <w:szCs w:val="16"/>
        </w:rPr>
        <w:t>Note: Safety data sheets are available for professional users upon request.</w:t>
      </w:r>
    </w:p>
    <w:p w14:paraId="2B3707C1" w14:textId="0BB9D41F"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SPECIMEN COLLECTION</w:t>
      </w:r>
      <w:r w:rsidR="00F019AA">
        <w:rPr>
          <w:rFonts w:ascii="Poppins" w:hAnsi="Poppins" w:cs="Poppins"/>
          <w:b/>
          <w:color w:val="E36C0A" w:themeColor="accent6" w:themeShade="BF"/>
        </w:rPr>
        <w:t xml:space="preserve"> AND STORAGE</w:t>
      </w:r>
    </w:p>
    <w:p w14:paraId="35042035" w14:textId="2F9CA798" w:rsidR="000336D7" w:rsidRPr="00C34950" w:rsidRDefault="000336D7" w:rsidP="000336D7">
      <w:pPr>
        <w:pStyle w:val="ListParagraph"/>
        <w:numPr>
          <w:ilvl w:val="0"/>
          <w:numId w:val="22"/>
        </w:numPr>
        <w:rPr>
          <w:rFonts w:ascii="Poppins" w:hAnsi="Poppins" w:cs="Poppins"/>
          <w:sz w:val="16"/>
          <w:szCs w:val="16"/>
        </w:rPr>
      </w:pPr>
      <w:r w:rsidRPr="00C34950">
        <w:rPr>
          <w:rFonts w:ascii="Poppins" w:hAnsi="Poppins" w:cs="Poppins"/>
          <w:sz w:val="16"/>
          <w:szCs w:val="16"/>
        </w:rPr>
        <w:t xml:space="preserve">Human serum collected by standard venipuncture technique is used in the </w:t>
      </w:r>
      <w:r w:rsidR="004324C3">
        <w:rPr>
          <w:rFonts w:ascii="Poppins" w:hAnsi="Poppins" w:cs="Poppins"/>
          <w:sz w:val="16"/>
          <w:szCs w:val="16"/>
        </w:rPr>
        <w:t>NTx Serum</w:t>
      </w:r>
      <w:r w:rsidRPr="00C34950">
        <w:rPr>
          <w:rFonts w:ascii="Poppins" w:hAnsi="Poppins" w:cs="Poppins"/>
          <w:sz w:val="16"/>
          <w:szCs w:val="16"/>
        </w:rPr>
        <w:t xml:space="preserve"> assay. The use of plasma samples has not been established. Allow blood to fully clot and remove the serum from the red blood cells promptly. Specimens collected in serum separation tubes should be removed from the gel. Store serum samples refrigerated (2 – 8</w:t>
      </w:r>
      <w:r>
        <w:rPr>
          <w:rFonts w:ascii="Poppins" w:hAnsi="Poppins" w:cs="Poppins"/>
          <w:sz w:val="16"/>
          <w:szCs w:val="16"/>
        </w:rPr>
        <w:t xml:space="preserve"> </w:t>
      </w:r>
      <w:r w:rsidRPr="00C34950">
        <w:rPr>
          <w:rFonts w:ascii="Poppins" w:hAnsi="Poppins" w:cs="Poppins"/>
          <w:sz w:val="16"/>
          <w:szCs w:val="16"/>
        </w:rPr>
        <w:t>ºC) for up to 24 hours, or store frozen</w:t>
      </w:r>
      <w:r>
        <w:rPr>
          <w:rFonts w:ascii="Poppins" w:hAnsi="Poppins" w:cs="Poppins"/>
          <w:sz w:val="16"/>
          <w:szCs w:val="16"/>
        </w:rPr>
        <w:t xml:space="preserve"> </w:t>
      </w:r>
      <w:r w:rsidRPr="00C34950">
        <w:rPr>
          <w:rFonts w:ascii="Poppins" w:hAnsi="Poppins" w:cs="Poppins"/>
          <w:sz w:val="16"/>
          <w:szCs w:val="16"/>
        </w:rPr>
        <w:t>(-20</w:t>
      </w:r>
      <w:r>
        <w:rPr>
          <w:rFonts w:ascii="Poppins" w:hAnsi="Poppins" w:cs="Poppins"/>
          <w:sz w:val="16"/>
          <w:szCs w:val="16"/>
        </w:rPr>
        <w:t xml:space="preserve"> </w:t>
      </w:r>
      <w:r w:rsidRPr="00C34950">
        <w:rPr>
          <w:rFonts w:ascii="Poppins" w:hAnsi="Poppins" w:cs="Poppins"/>
          <w:sz w:val="16"/>
          <w:szCs w:val="16"/>
        </w:rPr>
        <w:t>ºC or below) for longer term storage. Specimens may undergo three freeze/ thaw cycles.</w:t>
      </w:r>
    </w:p>
    <w:p w14:paraId="0C4ECE5D" w14:textId="4B860987" w:rsidR="008E0E45" w:rsidRPr="00B33D9F" w:rsidRDefault="000336D7" w:rsidP="00B33D9F">
      <w:pPr>
        <w:pStyle w:val="ListParagraph"/>
        <w:numPr>
          <w:ilvl w:val="0"/>
          <w:numId w:val="22"/>
        </w:numPr>
        <w:rPr>
          <w:rFonts w:ascii="Poppins" w:hAnsi="Poppins" w:cs="Poppins"/>
          <w:sz w:val="16"/>
          <w:szCs w:val="16"/>
        </w:rPr>
      </w:pPr>
      <w:r w:rsidRPr="00C34950">
        <w:rPr>
          <w:rFonts w:ascii="Poppins" w:hAnsi="Poppins" w:cs="Poppins"/>
          <w:sz w:val="16"/>
          <w:szCs w:val="16"/>
        </w:rPr>
        <w:t>For monitoring therapy, baseline samples should be collected just prior to or on the day of therapy initiation. Subsequent specimens for comparison should be collected at approximately the same time of day as the baseline specimen.</w:t>
      </w:r>
    </w:p>
    <w:p w14:paraId="329A0EAB" w14:textId="464F6AA6"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ASSAY PROCEDURE</w:t>
      </w:r>
    </w:p>
    <w:p w14:paraId="14ABBD6F" w14:textId="77777777" w:rsidR="000336D7" w:rsidRPr="00D821C8" w:rsidRDefault="000336D7" w:rsidP="000336D7">
      <w:pPr>
        <w:rPr>
          <w:rFonts w:ascii="Poppins" w:hAnsi="Poppins" w:cs="Poppins"/>
          <w:b/>
          <w:bCs/>
          <w:sz w:val="16"/>
          <w:szCs w:val="16"/>
        </w:rPr>
      </w:pPr>
      <w:r w:rsidRPr="00D821C8">
        <w:rPr>
          <w:rFonts w:ascii="Poppins" w:hAnsi="Poppins" w:cs="Poppins"/>
          <w:b/>
          <w:bCs/>
          <w:sz w:val="16"/>
          <w:szCs w:val="16"/>
        </w:rPr>
        <w:t>Preparatory Steps</w:t>
      </w:r>
    </w:p>
    <w:p w14:paraId="1B8F19A0" w14:textId="77777777" w:rsidR="000336D7" w:rsidRPr="004745FD" w:rsidRDefault="000336D7" w:rsidP="000336D7">
      <w:pPr>
        <w:pStyle w:val="ListParagraph"/>
        <w:numPr>
          <w:ilvl w:val="0"/>
          <w:numId w:val="23"/>
        </w:numPr>
        <w:rPr>
          <w:rFonts w:ascii="Poppins" w:hAnsi="Poppins" w:cs="Poppins"/>
          <w:sz w:val="16"/>
          <w:szCs w:val="16"/>
        </w:rPr>
      </w:pPr>
      <w:r w:rsidRPr="004745FD">
        <w:rPr>
          <w:rFonts w:ascii="Poppins" w:hAnsi="Poppins" w:cs="Poppins"/>
          <w:b/>
          <w:bCs/>
          <w:sz w:val="16"/>
          <w:szCs w:val="16"/>
        </w:rPr>
        <w:t xml:space="preserve">Allow all specimens and reagents to equilibrate to room temperature (18 </w:t>
      </w:r>
      <w:r>
        <w:rPr>
          <w:rFonts w:ascii="Poppins" w:hAnsi="Poppins" w:cs="Poppins"/>
          <w:b/>
          <w:bCs/>
          <w:sz w:val="16"/>
          <w:szCs w:val="16"/>
        </w:rPr>
        <w:t>–</w:t>
      </w:r>
      <w:r w:rsidRPr="004745FD">
        <w:rPr>
          <w:rFonts w:ascii="Poppins" w:hAnsi="Poppins" w:cs="Poppins"/>
          <w:b/>
          <w:bCs/>
          <w:sz w:val="16"/>
          <w:szCs w:val="16"/>
        </w:rPr>
        <w:t xml:space="preserve"> 28</w:t>
      </w:r>
      <w:r>
        <w:rPr>
          <w:rFonts w:ascii="Poppins" w:hAnsi="Poppins" w:cs="Poppins"/>
          <w:b/>
          <w:bCs/>
          <w:sz w:val="16"/>
          <w:szCs w:val="16"/>
        </w:rPr>
        <w:t xml:space="preserve"> </w:t>
      </w:r>
      <w:r w:rsidRPr="004745FD">
        <w:rPr>
          <w:rFonts w:ascii="Poppins" w:hAnsi="Poppins" w:cs="Poppins"/>
          <w:b/>
          <w:bCs/>
          <w:sz w:val="16"/>
          <w:szCs w:val="16"/>
        </w:rPr>
        <w:t>°C) for at least one hour before performing the assay</w:t>
      </w:r>
      <w:r w:rsidRPr="004745FD">
        <w:rPr>
          <w:rFonts w:ascii="Poppins" w:hAnsi="Poppins" w:cs="Poppins"/>
          <w:sz w:val="16"/>
          <w:szCs w:val="16"/>
        </w:rPr>
        <w:t xml:space="preserve">. To facilitate warming, remove reagents from the kit box. Frozen </w:t>
      </w:r>
      <w:r>
        <w:rPr>
          <w:rFonts w:ascii="Poppins" w:hAnsi="Poppins" w:cs="Poppins"/>
          <w:sz w:val="16"/>
          <w:szCs w:val="16"/>
        </w:rPr>
        <w:t>serum</w:t>
      </w:r>
      <w:r w:rsidRPr="004745FD">
        <w:rPr>
          <w:rFonts w:ascii="Poppins" w:hAnsi="Poppins" w:cs="Poppins"/>
          <w:sz w:val="16"/>
          <w:szCs w:val="16"/>
        </w:rPr>
        <w:t xml:space="preserve"> specimens may be thawed at 37</w:t>
      </w:r>
      <w:r>
        <w:rPr>
          <w:rFonts w:ascii="Poppins" w:hAnsi="Poppins" w:cs="Poppins"/>
          <w:sz w:val="16"/>
          <w:szCs w:val="16"/>
        </w:rPr>
        <w:t xml:space="preserve"> </w:t>
      </w:r>
      <w:r w:rsidRPr="004745FD">
        <w:rPr>
          <w:rFonts w:ascii="Poppins" w:hAnsi="Poppins" w:cs="Poppins"/>
          <w:sz w:val="16"/>
          <w:szCs w:val="16"/>
        </w:rPr>
        <w:t>°C, in either a water bath or an incubator, then brought to room temperature prior to use in the assay. The Chromogen Reagent contains dimethylsulfoxide, which may solidify when refrigerated but is liquid at room temperature.</w:t>
      </w:r>
    </w:p>
    <w:p w14:paraId="5BD6E1D8" w14:textId="77777777" w:rsidR="000336D7" w:rsidRDefault="000336D7" w:rsidP="000336D7">
      <w:pPr>
        <w:pStyle w:val="ListParagraph"/>
        <w:numPr>
          <w:ilvl w:val="0"/>
          <w:numId w:val="23"/>
        </w:numPr>
        <w:rPr>
          <w:rFonts w:ascii="Poppins" w:hAnsi="Poppins" w:cs="Poppins"/>
          <w:sz w:val="16"/>
          <w:szCs w:val="16"/>
        </w:rPr>
      </w:pPr>
      <w:r w:rsidRPr="00422FBD">
        <w:rPr>
          <w:rFonts w:ascii="Poppins" w:hAnsi="Poppins" w:cs="Poppins"/>
          <w:sz w:val="16"/>
          <w:szCs w:val="16"/>
        </w:rPr>
        <w:t>Prepare working strength wash solution. Dilute 30X Wash Concentrate 1:30 with deionized water (1 part 30X Wash Concentrate with 29 parts deionized water; example dilution would be 30 mL Wash Concentrate plus 870 mL deionized water) and mix for a minimum of five (5) minutes. The diluted wash solution is stable for one (1) month at room temperature</w:t>
      </w:r>
      <w:r>
        <w:rPr>
          <w:rFonts w:ascii="Poppins" w:hAnsi="Poppins" w:cs="Poppins"/>
          <w:sz w:val="16"/>
          <w:szCs w:val="16"/>
        </w:rPr>
        <w:t>.</w:t>
      </w:r>
    </w:p>
    <w:p w14:paraId="5DA309B0" w14:textId="60D22868" w:rsidR="000336D7" w:rsidRPr="006B7E57" w:rsidRDefault="000336D7" w:rsidP="000336D7">
      <w:pPr>
        <w:pStyle w:val="ListParagraph"/>
        <w:numPr>
          <w:ilvl w:val="0"/>
          <w:numId w:val="23"/>
        </w:numPr>
        <w:rPr>
          <w:rFonts w:ascii="Poppins" w:hAnsi="Poppins" w:cs="Poppins"/>
          <w:sz w:val="16"/>
          <w:szCs w:val="16"/>
        </w:rPr>
      </w:pPr>
      <w:r w:rsidRPr="004745FD">
        <w:rPr>
          <w:rFonts w:ascii="Poppins" w:hAnsi="Poppins" w:cs="Poppins"/>
          <w:sz w:val="16"/>
          <w:szCs w:val="16"/>
        </w:rPr>
        <w:t xml:space="preserve">Create a plate map indicating location of calibrators, controls and </w:t>
      </w:r>
      <w:r>
        <w:rPr>
          <w:rFonts w:ascii="Poppins" w:hAnsi="Poppins" w:cs="Poppins"/>
          <w:sz w:val="16"/>
          <w:szCs w:val="16"/>
        </w:rPr>
        <w:t>serum</w:t>
      </w:r>
      <w:r w:rsidRPr="004745FD">
        <w:rPr>
          <w:rFonts w:ascii="Poppins" w:hAnsi="Poppins" w:cs="Poppins"/>
          <w:sz w:val="16"/>
          <w:szCs w:val="16"/>
        </w:rPr>
        <w:t xml:space="preserve"> specimens. It is recommended that calibrators </w:t>
      </w:r>
      <w:r>
        <w:rPr>
          <w:rFonts w:ascii="Poppins" w:hAnsi="Poppins" w:cs="Poppins"/>
          <w:sz w:val="16"/>
          <w:szCs w:val="16"/>
        </w:rPr>
        <w:t>and C</w:t>
      </w:r>
      <w:r w:rsidRPr="004745FD">
        <w:rPr>
          <w:rFonts w:ascii="Poppins" w:hAnsi="Poppins" w:cs="Poppins"/>
          <w:sz w:val="16"/>
          <w:szCs w:val="16"/>
        </w:rPr>
        <w:t xml:space="preserve">ontrols be run in duplicate microwells. An example of a plate map is provided below for an </w:t>
      </w:r>
      <w:r w:rsidR="004324C3">
        <w:rPr>
          <w:rFonts w:ascii="Poppins" w:hAnsi="Poppins" w:cs="Poppins"/>
          <w:sz w:val="16"/>
          <w:szCs w:val="16"/>
        </w:rPr>
        <w:t>NTx Serum</w:t>
      </w:r>
      <w:r w:rsidRPr="004745FD">
        <w:rPr>
          <w:rFonts w:ascii="Poppins" w:hAnsi="Poppins" w:cs="Poppins"/>
          <w:sz w:val="16"/>
          <w:szCs w:val="16"/>
        </w:rPr>
        <w:t xml:space="preserve"> assay with </w:t>
      </w:r>
      <w:r>
        <w:rPr>
          <w:rFonts w:ascii="Poppins" w:hAnsi="Poppins" w:cs="Poppins"/>
          <w:sz w:val="16"/>
          <w:szCs w:val="16"/>
        </w:rPr>
        <w:t>10</w:t>
      </w:r>
      <w:r w:rsidRPr="004745FD">
        <w:rPr>
          <w:rFonts w:ascii="Poppins" w:hAnsi="Poppins" w:cs="Poppins"/>
          <w:sz w:val="16"/>
          <w:szCs w:val="16"/>
        </w:rPr>
        <w:t xml:space="preserve"> </w:t>
      </w:r>
      <w:r>
        <w:rPr>
          <w:rFonts w:ascii="Poppins" w:hAnsi="Poppins" w:cs="Poppins"/>
          <w:sz w:val="16"/>
          <w:szCs w:val="16"/>
        </w:rPr>
        <w:t>patient serum samples</w:t>
      </w:r>
      <w:r w:rsidRPr="004745FD">
        <w:rPr>
          <w:rFonts w:ascii="Poppins" w:hAnsi="Poppins" w:cs="Poppins"/>
          <w:sz w:val="16"/>
          <w:szCs w:val="16"/>
        </w:rPr>
        <w:t>:</w:t>
      </w:r>
    </w:p>
    <w:p w14:paraId="52B78632" w14:textId="77777777" w:rsidR="000336D7" w:rsidRPr="004745FD" w:rsidRDefault="000336D7" w:rsidP="000336D7">
      <w:pPr>
        <w:rPr>
          <w:rFonts w:ascii="Poppins" w:hAnsi="Poppins" w:cs="Poppins"/>
          <w:sz w:val="16"/>
          <w:szCs w:val="16"/>
        </w:rPr>
      </w:pPr>
    </w:p>
    <w:tbl>
      <w:tblPr>
        <w:tblStyle w:val="TableGrid"/>
        <w:tblW w:w="0" w:type="auto"/>
        <w:tblInd w:w="715" w:type="dxa"/>
        <w:tblLook w:val="04A0" w:firstRow="1" w:lastRow="0" w:firstColumn="1" w:lastColumn="0" w:noHBand="0" w:noVBand="1"/>
      </w:tblPr>
      <w:tblGrid>
        <w:gridCol w:w="540"/>
        <w:gridCol w:w="2250"/>
        <w:gridCol w:w="2340"/>
        <w:gridCol w:w="2340"/>
      </w:tblGrid>
      <w:tr w:rsidR="000336D7" w14:paraId="642456F9" w14:textId="77777777" w:rsidTr="00C05E09">
        <w:tc>
          <w:tcPr>
            <w:tcW w:w="540" w:type="dxa"/>
          </w:tcPr>
          <w:p w14:paraId="65A3FD29" w14:textId="77777777" w:rsidR="000336D7" w:rsidRDefault="000336D7" w:rsidP="00C05E09">
            <w:pPr>
              <w:rPr>
                <w:rFonts w:ascii="Poppins" w:hAnsi="Poppins" w:cs="Poppins"/>
                <w:sz w:val="16"/>
                <w:szCs w:val="16"/>
              </w:rPr>
            </w:pPr>
          </w:p>
        </w:tc>
        <w:tc>
          <w:tcPr>
            <w:tcW w:w="2250" w:type="dxa"/>
          </w:tcPr>
          <w:p w14:paraId="5F33F54B" w14:textId="77777777" w:rsidR="000336D7" w:rsidRDefault="000336D7" w:rsidP="00C05E09">
            <w:pPr>
              <w:jc w:val="center"/>
              <w:rPr>
                <w:rFonts w:ascii="Poppins" w:hAnsi="Poppins" w:cs="Poppins"/>
                <w:sz w:val="16"/>
                <w:szCs w:val="16"/>
              </w:rPr>
            </w:pPr>
            <w:r>
              <w:rPr>
                <w:rFonts w:ascii="Poppins" w:hAnsi="Poppins" w:cs="Poppins"/>
                <w:sz w:val="16"/>
                <w:szCs w:val="16"/>
              </w:rPr>
              <w:t>1</w:t>
            </w:r>
          </w:p>
        </w:tc>
        <w:tc>
          <w:tcPr>
            <w:tcW w:w="2340" w:type="dxa"/>
          </w:tcPr>
          <w:p w14:paraId="6756318F" w14:textId="77777777" w:rsidR="000336D7" w:rsidRDefault="000336D7" w:rsidP="00C05E09">
            <w:pPr>
              <w:jc w:val="center"/>
              <w:rPr>
                <w:rFonts w:ascii="Poppins" w:hAnsi="Poppins" w:cs="Poppins"/>
                <w:sz w:val="16"/>
                <w:szCs w:val="16"/>
              </w:rPr>
            </w:pPr>
            <w:r>
              <w:rPr>
                <w:rFonts w:ascii="Poppins" w:hAnsi="Poppins" w:cs="Poppins"/>
                <w:sz w:val="16"/>
                <w:szCs w:val="16"/>
              </w:rPr>
              <w:t>2</w:t>
            </w:r>
          </w:p>
        </w:tc>
        <w:tc>
          <w:tcPr>
            <w:tcW w:w="2340" w:type="dxa"/>
          </w:tcPr>
          <w:p w14:paraId="70B829B1" w14:textId="77777777" w:rsidR="000336D7" w:rsidRDefault="000336D7" w:rsidP="00C05E09">
            <w:pPr>
              <w:jc w:val="center"/>
              <w:rPr>
                <w:rFonts w:ascii="Poppins" w:hAnsi="Poppins" w:cs="Poppins"/>
                <w:sz w:val="16"/>
                <w:szCs w:val="16"/>
              </w:rPr>
            </w:pPr>
            <w:r>
              <w:rPr>
                <w:rFonts w:ascii="Poppins" w:hAnsi="Poppins" w:cs="Poppins"/>
                <w:sz w:val="16"/>
                <w:szCs w:val="16"/>
              </w:rPr>
              <w:t>3</w:t>
            </w:r>
          </w:p>
        </w:tc>
      </w:tr>
      <w:tr w:rsidR="000336D7" w14:paraId="2DE17270" w14:textId="77777777" w:rsidTr="00C05E09">
        <w:tc>
          <w:tcPr>
            <w:tcW w:w="540" w:type="dxa"/>
          </w:tcPr>
          <w:p w14:paraId="6129690B" w14:textId="77777777" w:rsidR="000336D7" w:rsidRDefault="000336D7" w:rsidP="00C05E09">
            <w:pPr>
              <w:rPr>
                <w:rFonts w:ascii="Poppins" w:hAnsi="Poppins" w:cs="Poppins"/>
                <w:sz w:val="16"/>
                <w:szCs w:val="16"/>
              </w:rPr>
            </w:pPr>
            <w:r>
              <w:rPr>
                <w:rFonts w:ascii="Poppins" w:hAnsi="Poppins" w:cs="Poppins"/>
                <w:sz w:val="16"/>
                <w:szCs w:val="16"/>
              </w:rPr>
              <w:t>A</w:t>
            </w:r>
          </w:p>
        </w:tc>
        <w:tc>
          <w:tcPr>
            <w:tcW w:w="2250" w:type="dxa"/>
          </w:tcPr>
          <w:p w14:paraId="0CAFBBFE" w14:textId="77777777" w:rsidR="000336D7" w:rsidRDefault="000336D7" w:rsidP="00C05E09">
            <w:pPr>
              <w:tabs>
                <w:tab w:val="center" w:pos="1557"/>
              </w:tabs>
              <w:rPr>
                <w:rFonts w:ascii="Poppins" w:hAnsi="Poppins" w:cs="Poppins"/>
                <w:sz w:val="16"/>
                <w:szCs w:val="16"/>
              </w:rPr>
            </w:pPr>
            <w:r>
              <w:rPr>
                <w:rFonts w:ascii="Poppins" w:hAnsi="Poppins" w:cs="Poppins"/>
                <w:sz w:val="16"/>
                <w:szCs w:val="16"/>
              </w:rPr>
              <w:t>0</w:t>
            </w:r>
            <w:r w:rsidRPr="000F10D0">
              <w:rPr>
                <w:rFonts w:ascii="Poppins" w:hAnsi="Poppins" w:cs="Poppins"/>
                <w:sz w:val="16"/>
                <w:szCs w:val="16"/>
              </w:rPr>
              <w:t xml:space="preserve"> nM BCE Calibrator</w:t>
            </w:r>
          </w:p>
        </w:tc>
        <w:tc>
          <w:tcPr>
            <w:tcW w:w="2340" w:type="dxa"/>
          </w:tcPr>
          <w:p w14:paraId="4CCBAF74" w14:textId="77777777" w:rsidR="000336D7" w:rsidRDefault="000336D7" w:rsidP="00C05E09">
            <w:pPr>
              <w:rPr>
                <w:rFonts w:ascii="Poppins" w:hAnsi="Poppins" w:cs="Poppins"/>
                <w:sz w:val="16"/>
                <w:szCs w:val="16"/>
              </w:rPr>
            </w:pPr>
            <w:r>
              <w:rPr>
                <w:rFonts w:ascii="Poppins" w:hAnsi="Poppins" w:cs="Poppins"/>
                <w:sz w:val="16"/>
                <w:szCs w:val="16"/>
              </w:rPr>
              <w:t>40</w:t>
            </w:r>
            <w:r w:rsidRPr="000F10D0">
              <w:rPr>
                <w:rFonts w:ascii="Poppins" w:hAnsi="Poppins" w:cs="Poppins"/>
                <w:sz w:val="16"/>
                <w:szCs w:val="16"/>
              </w:rPr>
              <w:t xml:space="preserve"> nM BCE Calibrator</w:t>
            </w:r>
          </w:p>
        </w:tc>
        <w:tc>
          <w:tcPr>
            <w:tcW w:w="2340" w:type="dxa"/>
          </w:tcPr>
          <w:p w14:paraId="3D16C71D"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3</w:t>
            </w:r>
          </w:p>
        </w:tc>
      </w:tr>
      <w:tr w:rsidR="000336D7" w14:paraId="3C1D5E8A" w14:textId="77777777" w:rsidTr="00C05E09">
        <w:tc>
          <w:tcPr>
            <w:tcW w:w="540" w:type="dxa"/>
          </w:tcPr>
          <w:p w14:paraId="3CEFF06E" w14:textId="77777777" w:rsidR="000336D7" w:rsidRDefault="000336D7" w:rsidP="00C05E09">
            <w:pPr>
              <w:rPr>
                <w:rFonts w:ascii="Poppins" w:hAnsi="Poppins" w:cs="Poppins"/>
                <w:sz w:val="16"/>
                <w:szCs w:val="16"/>
              </w:rPr>
            </w:pPr>
            <w:r>
              <w:rPr>
                <w:rFonts w:ascii="Poppins" w:hAnsi="Poppins" w:cs="Poppins"/>
                <w:sz w:val="16"/>
                <w:szCs w:val="16"/>
              </w:rPr>
              <w:t>B</w:t>
            </w:r>
          </w:p>
        </w:tc>
        <w:tc>
          <w:tcPr>
            <w:tcW w:w="2250" w:type="dxa"/>
          </w:tcPr>
          <w:p w14:paraId="5BE77936" w14:textId="77777777" w:rsidR="000336D7" w:rsidRDefault="000336D7" w:rsidP="00C05E09">
            <w:pPr>
              <w:rPr>
                <w:rFonts w:ascii="Poppins" w:hAnsi="Poppins" w:cs="Poppins"/>
                <w:sz w:val="16"/>
                <w:szCs w:val="16"/>
              </w:rPr>
            </w:pPr>
            <w:r>
              <w:rPr>
                <w:rFonts w:ascii="Poppins" w:hAnsi="Poppins" w:cs="Poppins"/>
                <w:sz w:val="16"/>
                <w:szCs w:val="16"/>
              </w:rPr>
              <w:t>0</w:t>
            </w:r>
            <w:r w:rsidRPr="000F10D0">
              <w:rPr>
                <w:rFonts w:ascii="Poppins" w:hAnsi="Poppins" w:cs="Poppins"/>
                <w:sz w:val="16"/>
                <w:szCs w:val="16"/>
              </w:rPr>
              <w:t xml:space="preserve"> nM BCE Calibrator</w:t>
            </w:r>
          </w:p>
        </w:tc>
        <w:tc>
          <w:tcPr>
            <w:tcW w:w="2340" w:type="dxa"/>
          </w:tcPr>
          <w:p w14:paraId="5A21F0DF" w14:textId="77777777" w:rsidR="000336D7" w:rsidRDefault="000336D7" w:rsidP="00C05E09">
            <w:pPr>
              <w:rPr>
                <w:rFonts w:ascii="Poppins" w:hAnsi="Poppins" w:cs="Poppins"/>
                <w:sz w:val="16"/>
                <w:szCs w:val="16"/>
              </w:rPr>
            </w:pPr>
            <w:r>
              <w:rPr>
                <w:rFonts w:ascii="Poppins" w:hAnsi="Poppins" w:cs="Poppins"/>
                <w:sz w:val="16"/>
                <w:szCs w:val="16"/>
              </w:rPr>
              <w:t>40</w:t>
            </w:r>
            <w:r w:rsidRPr="000F10D0">
              <w:rPr>
                <w:rFonts w:ascii="Poppins" w:hAnsi="Poppins" w:cs="Poppins"/>
                <w:sz w:val="16"/>
                <w:szCs w:val="16"/>
              </w:rPr>
              <w:t xml:space="preserve"> nM BCE Calibrator</w:t>
            </w:r>
          </w:p>
        </w:tc>
        <w:tc>
          <w:tcPr>
            <w:tcW w:w="2340" w:type="dxa"/>
          </w:tcPr>
          <w:p w14:paraId="63227633"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4</w:t>
            </w:r>
          </w:p>
        </w:tc>
      </w:tr>
      <w:tr w:rsidR="000336D7" w14:paraId="6DDBF42F" w14:textId="77777777" w:rsidTr="00C05E09">
        <w:tc>
          <w:tcPr>
            <w:tcW w:w="540" w:type="dxa"/>
          </w:tcPr>
          <w:p w14:paraId="4DC0B012" w14:textId="77777777" w:rsidR="000336D7" w:rsidRDefault="000336D7" w:rsidP="00C05E09">
            <w:pPr>
              <w:rPr>
                <w:rFonts w:ascii="Poppins" w:hAnsi="Poppins" w:cs="Poppins"/>
                <w:sz w:val="16"/>
                <w:szCs w:val="16"/>
              </w:rPr>
            </w:pPr>
            <w:r>
              <w:rPr>
                <w:rFonts w:ascii="Poppins" w:hAnsi="Poppins" w:cs="Poppins"/>
                <w:sz w:val="16"/>
                <w:szCs w:val="16"/>
              </w:rPr>
              <w:t>C</w:t>
            </w:r>
          </w:p>
        </w:tc>
        <w:tc>
          <w:tcPr>
            <w:tcW w:w="2250" w:type="dxa"/>
          </w:tcPr>
          <w:p w14:paraId="742F7781" w14:textId="77777777" w:rsidR="000336D7" w:rsidRDefault="000336D7" w:rsidP="00C05E09">
            <w:pPr>
              <w:rPr>
                <w:rFonts w:ascii="Poppins" w:hAnsi="Poppins" w:cs="Poppins"/>
                <w:sz w:val="16"/>
                <w:szCs w:val="16"/>
              </w:rPr>
            </w:pPr>
            <w:r>
              <w:rPr>
                <w:rFonts w:ascii="Poppins" w:hAnsi="Poppins" w:cs="Poppins"/>
                <w:sz w:val="16"/>
                <w:szCs w:val="16"/>
              </w:rPr>
              <w:t>5</w:t>
            </w:r>
            <w:r w:rsidRPr="000F10D0">
              <w:rPr>
                <w:rFonts w:ascii="Poppins" w:hAnsi="Poppins" w:cs="Poppins"/>
                <w:sz w:val="16"/>
                <w:szCs w:val="16"/>
              </w:rPr>
              <w:t xml:space="preserve"> nM BCE Calibrator</w:t>
            </w:r>
          </w:p>
        </w:tc>
        <w:tc>
          <w:tcPr>
            <w:tcW w:w="2340" w:type="dxa"/>
          </w:tcPr>
          <w:p w14:paraId="5C088F51" w14:textId="77777777" w:rsidR="000336D7" w:rsidRDefault="000336D7" w:rsidP="00C05E09">
            <w:pPr>
              <w:rPr>
                <w:rFonts w:ascii="Poppins" w:hAnsi="Poppins" w:cs="Poppins"/>
                <w:sz w:val="16"/>
                <w:szCs w:val="16"/>
              </w:rPr>
            </w:pPr>
            <w:r w:rsidRPr="000F10D0">
              <w:rPr>
                <w:rFonts w:ascii="Poppins" w:hAnsi="Poppins" w:cs="Poppins"/>
                <w:sz w:val="16"/>
                <w:szCs w:val="16"/>
              </w:rPr>
              <w:t xml:space="preserve">Level I </w:t>
            </w:r>
            <w:r>
              <w:rPr>
                <w:rFonts w:ascii="Poppins" w:hAnsi="Poppins" w:cs="Poppins"/>
                <w:sz w:val="16"/>
                <w:szCs w:val="16"/>
              </w:rPr>
              <w:t>Serum</w:t>
            </w:r>
            <w:r w:rsidRPr="000F10D0">
              <w:rPr>
                <w:rFonts w:ascii="Poppins" w:hAnsi="Poppins" w:cs="Poppins"/>
                <w:sz w:val="16"/>
                <w:szCs w:val="16"/>
              </w:rPr>
              <w:t xml:space="preserve"> Control</w:t>
            </w:r>
          </w:p>
        </w:tc>
        <w:tc>
          <w:tcPr>
            <w:tcW w:w="2340" w:type="dxa"/>
          </w:tcPr>
          <w:p w14:paraId="4F6EEF37"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5</w:t>
            </w:r>
          </w:p>
        </w:tc>
      </w:tr>
      <w:tr w:rsidR="000336D7" w14:paraId="5C5D8CED" w14:textId="77777777" w:rsidTr="00C05E09">
        <w:tc>
          <w:tcPr>
            <w:tcW w:w="540" w:type="dxa"/>
          </w:tcPr>
          <w:p w14:paraId="2A339BCC" w14:textId="77777777" w:rsidR="000336D7" w:rsidRDefault="000336D7" w:rsidP="00C05E09">
            <w:pPr>
              <w:rPr>
                <w:rFonts w:ascii="Poppins" w:hAnsi="Poppins" w:cs="Poppins"/>
                <w:sz w:val="16"/>
                <w:szCs w:val="16"/>
              </w:rPr>
            </w:pPr>
            <w:r>
              <w:rPr>
                <w:rFonts w:ascii="Poppins" w:hAnsi="Poppins" w:cs="Poppins"/>
                <w:sz w:val="16"/>
                <w:szCs w:val="16"/>
              </w:rPr>
              <w:t>D</w:t>
            </w:r>
          </w:p>
        </w:tc>
        <w:tc>
          <w:tcPr>
            <w:tcW w:w="2250" w:type="dxa"/>
          </w:tcPr>
          <w:p w14:paraId="18ECAA2B" w14:textId="77777777" w:rsidR="000336D7" w:rsidRDefault="000336D7" w:rsidP="00C05E09">
            <w:pPr>
              <w:rPr>
                <w:rFonts w:ascii="Poppins" w:hAnsi="Poppins" w:cs="Poppins"/>
                <w:sz w:val="16"/>
                <w:szCs w:val="16"/>
              </w:rPr>
            </w:pPr>
            <w:r>
              <w:rPr>
                <w:rFonts w:ascii="Poppins" w:hAnsi="Poppins" w:cs="Poppins"/>
                <w:sz w:val="16"/>
                <w:szCs w:val="16"/>
              </w:rPr>
              <w:t>5</w:t>
            </w:r>
            <w:r w:rsidRPr="000F10D0">
              <w:rPr>
                <w:rFonts w:ascii="Poppins" w:hAnsi="Poppins" w:cs="Poppins"/>
                <w:sz w:val="16"/>
                <w:szCs w:val="16"/>
              </w:rPr>
              <w:t xml:space="preserve"> nM BCE Calibrator</w:t>
            </w:r>
          </w:p>
        </w:tc>
        <w:tc>
          <w:tcPr>
            <w:tcW w:w="2340" w:type="dxa"/>
          </w:tcPr>
          <w:p w14:paraId="4A48EAEB" w14:textId="77777777" w:rsidR="000336D7" w:rsidRDefault="000336D7" w:rsidP="00C05E09">
            <w:pPr>
              <w:rPr>
                <w:rFonts w:ascii="Poppins" w:hAnsi="Poppins" w:cs="Poppins"/>
                <w:sz w:val="16"/>
                <w:szCs w:val="16"/>
              </w:rPr>
            </w:pPr>
            <w:r w:rsidRPr="000F10D0">
              <w:rPr>
                <w:rFonts w:ascii="Poppins" w:hAnsi="Poppins" w:cs="Poppins"/>
                <w:sz w:val="16"/>
                <w:szCs w:val="16"/>
              </w:rPr>
              <w:t xml:space="preserve">Level I </w:t>
            </w:r>
            <w:r>
              <w:rPr>
                <w:rFonts w:ascii="Poppins" w:hAnsi="Poppins" w:cs="Poppins"/>
                <w:sz w:val="16"/>
                <w:szCs w:val="16"/>
              </w:rPr>
              <w:t>Serum</w:t>
            </w:r>
            <w:r w:rsidRPr="000F10D0">
              <w:rPr>
                <w:rFonts w:ascii="Poppins" w:hAnsi="Poppins" w:cs="Poppins"/>
                <w:sz w:val="16"/>
                <w:szCs w:val="16"/>
              </w:rPr>
              <w:t xml:space="preserve"> Control</w:t>
            </w:r>
          </w:p>
        </w:tc>
        <w:tc>
          <w:tcPr>
            <w:tcW w:w="2340" w:type="dxa"/>
          </w:tcPr>
          <w:p w14:paraId="6A691528"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6</w:t>
            </w:r>
          </w:p>
        </w:tc>
      </w:tr>
      <w:tr w:rsidR="000336D7" w14:paraId="72DB4C88" w14:textId="77777777" w:rsidTr="00C05E09">
        <w:tc>
          <w:tcPr>
            <w:tcW w:w="540" w:type="dxa"/>
          </w:tcPr>
          <w:p w14:paraId="0BF4416F" w14:textId="77777777" w:rsidR="000336D7" w:rsidRDefault="000336D7" w:rsidP="00C05E09">
            <w:pPr>
              <w:rPr>
                <w:rFonts w:ascii="Poppins" w:hAnsi="Poppins" w:cs="Poppins"/>
                <w:sz w:val="16"/>
                <w:szCs w:val="16"/>
              </w:rPr>
            </w:pPr>
            <w:r>
              <w:rPr>
                <w:rFonts w:ascii="Poppins" w:hAnsi="Poppins" w:cs="Poppins"/>
                <w:sz w:val="16"/>
                <w:szCs w:val="16"/>
              </w:rPr>
              <w:t>E</w:t>
            </w:r>
          </w:p>
        </w:tc>
        <w:tc>
          <w:tcPr>
            <w:tcW w:w="2250" w:type="dxa"/>
          </w:tcPr>
          <w:p w14:paraId="347EF0EE" w14:textId="77777777" w:rsidR="000336D7" w:rsidRDefault="000336D7" w:rsidP="00C05E09">
            <w:pPr>
              <w:rPr>
                <w:rFonts w:ascii="Poppins" w:hAnsi="Poppins" w:cs="Poppins"/>
                <w:sz w:val="16"/>
                <w:szCs w:val="16"/>
              </w:rPr>
            </w:pPr>
            <w:r>
              <w:rPr>
                <w:rFonts w:ascii="Poppins" w:hAnsi="Poppins" w:cs="Poppins"/>
                <w:sz w:val="16"/>
                <w:szCs w:val="16"/>
              </w:rPr>
              <w:t>10</w:t>
            </w:r>
            <w:r w:rsidRPr="000F10D0">
              <w:rPr>
                <w:rFonts w:ascii="Poppins" w:hAnsi="Poppins" w:cs="Poppins"/>
                <w:sz w:val="16"/>
                <w:szCs w:val="16"/>
              </w:rPr>
              <w:t xml:space="preserve"> nM BCE Calibrator</w:t>
            </w:r>
          </w:p>
        </w:tc>
        <w:tc>
          <w:tcPr>
            <w:tcW w:w="2340" w:type="dxa"/>
          </w:tcPr>
          <w:p w14:paraId="04ED9762" w14:textId="77777777" w:rsidR="000336D7" w:rsidRDefault="000336D7" w:rsidP="00C05E09">
            <w:pPr>
              <w:rPr>
                <w:rFonts w:ascii="Poppins" w:hAnsi="Poppins" w:cs="Poppins"/>
                <w:sz w:val="16"/>
                <w:szCs w:val="16"/>
              </w:rPr>
            </w:pPr>
            <w:r w:rsidRPr="000F10D0">
              <w:rPr>
                <w:rFonts w:ascii="Poppins" w:hAnsi="Poppins" w:cs="Poppins"/>
                <w:sz w:val="16"/>
                <w:szCs w:val="16"/>
              </w:rPr>
              <w:t xml:space="preserve">Level II </w:t>
            </w:r>
            <w:r>
              <w:rPr>
                <w:rFonts w:ascii="Poppins" w:hAnsi="Poppins" w:cs="Poppins"/>
                <w:sz w:val="16"/>
                <w:szCs w:val="16"/>
              </w:rPr>
              <w:t>Serum</w:t>
            </w:r>
            <w:r w:rsidRPr="000F10D0">
              <w:rPr>
                <w:rFonts w:ascii="Poppins" w:hAnsi="Poppins" w:cs="Poppins"/>
                <w:sz w:val="16"/>
                <w:szCs w:val="16"/>
              </w:rPr>
              <w:t xml:space="preserve"> Control</w:t>
            </w:r>
          </w:p>
        </w:tc>
        <w:tc>
          <w:tcPr>
            <w:tcW w:w="2340" w:type="dxa"/>
          </w:tcPr>
          <w:p w14:paraId="29D53191"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7</w:t>
            </w:r>
          </w:p>
        </w:tc>
      </w:tr>
      <w:tr w:rsidR="000336D7" w14:paraId="70899EE2" w14:textId="77777777" w:rsidTr="00C05E09">
        <w:tc>
          <w:tcPr>
            <w:tcW w:w="540" w:type="dxa"/>
          </w:tcPr>
          <w:p w14:paraId="6213FAD6" w14:textId="77777777" w:rsidR="000336D7" w:rsidRDefault="000336D7" w:rsidP="00C05E09">
            <w:pPr>
              <w:rPr>
                <w:rFonts w:ascii="Poppins" w:hAnsi="Poppins" w:cs="Poppins"/>
                <w:sz w:val="16"/>
                <w:szCs w:val="16"/>
              </w:rPr>
            </w:pPr>
            <w:r>
              <w:rPr>
                <w:rFonts w:ascii="Poppins" w:hAnsi="Poppins" w:cs="Poppins"/>
                <w:sz w:val="16"/>
                <w:szCs w:val="16"/>
              </w:rPr>
              <w:t>F</w:t>
            </w:r>
          </w:p>
        </w:tc>
        <w:tc>
          <w:tcPr>
            <w:tcW w:w="2250" w:type="dxa"/>
          </w:tcPr>
          <w:p w14:paraId="338AC048" w14:textId="77777777" w:rsidR="000336D7" w:rsidRDefault="000336D7" w:rsidP="00C05E09">
            <w:pPr>
              <w:rPr>
                <w:rFonts w:ascii="Poppins" w:hAnsi="Poppins" w:cs="Poppins"/>
                <w:sz w:val="16"/>
                <w:szCs w:val="16"/>
              </w:rPr>
            </w:pPr>
            <w:r>
              <w:rPr>
                <w:rFonts w:ascii="Poppins" w:hAnsi="Poppins" w:cs="Poppins"/>
                <w:sz w:val="16"/>
                <w:szCs w:val="16"/>
              </w:rPr>
              <w:t>10</w:t>
            </w:r>
            <w:r w:rsidRPr="000F10D0">
              <w:rPr>
                <w:rFonts w:ascii="Poppins" w:hAnsi="Poppins" w:cs="Poppins"/>
                <w:sz w:val="16"/>
                <w:szCs w:val="16"/>
              </w:rPr>
              <w:t xml:space="preserve"> nM BCE Calibrator</w:t>
            </w:r>
          </w:p>
        </w:tc>
        <w:tc>
          <w:tcPr>
            <w:tcW w:w="2340" w:type="dxa"/>
          </w:tcPr>
          <w:p w14:paraId="6CFF4A25" w14:textId="77777777" w:rsidR="000336D7" w:rsidRDefault="000336D7" w:rsidP="00C05E09">
            <w:pPr>
              <w:rPr>
                <w:rFonts w:ascii="Poppins" w:hAnsi="Poppins" w:cs="Poppins"/>
                <w:sz w:val="16"/>
                <w:szCs w:val="16"/>
              </w:rPr>
            </w:pPr>
            <w:r w:rsidRPr="000F10D0">
              <w:rPr>
                <w:rFonts w:ascii="Poppins" w:hAnsi="Poppins" w:cs="Poppins"/>
                <w:sz w:val="16"/>
                <w:szCs w:val="16"/>
              </w:rPr>
              <w:t xml:space="preserve">Level II </w:t>
            </w:r>
            <w:r>
              <w:rPr>
                <w:rFonts w:ascii="Poppins" w:hAnsi="Poppins" w:cs="Poppins"/>
                <w:sz w:val="16"/>
                <w:szCs w:val="16"/>
              </w:rPr>
              <w:t>Serum</w:t>
            </w:r>
            <w:r w:rsidRPr="000F10D0">
              <w:rPr>
                <w:rFonts w:ascii="Poppins" w:hAnsi="Poppins" w:cs="Poppins"/>
                <w:sz w:val="16"/>
                <w:szCs w:val="16"/>
              </w:rPr>
              <w:t xml:space="preserve"> Control</w:t>
            </w:r>
          </w:p>
        </w:tc>
        <w:tc>
          <w:tcPr>
            <w:tcW w:w="2340" w:type="dxa"/>
          </w:tcPr>
          <w:p w14:paraId="18CC4BEE"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8</w:t>
            </w:r>
          </w:p>
        </w:tc>
      </w:tr>
      <w:tr w:rsidR="000336D7" w14:paraId="11854AD6" w14:textId="77777777" w:rsidTr="00C05E09">
        <w:tc>
          <w:tcPr>
            <w:tcW w:w="540" w:type="dxa"/>
          </w:tcPr>
          <w:p w14:paraId="6AA1317F" w14:textId="77777777" w:rsidR="000336D7" w:rsidRDefault="000336D7" w:rsidP="00C05E09">
            <w:pPr>
              <w:rPr>
                <w:rFonts w:ascii="Poppins" w:hAnsi="Poppins" w:cs="Poppins"/>
                <w:sz w:val="16"/>
                <w:szCs w:val="16"/>
              </w:rPr>
            </w:pPr>
            <w:r>
              <w:rPr>
                <w:rFonts w:ascii="Poppins" w:hAnsi="Poppins" w:cs="Poppins"/>
                <w:sz w:val="16"/>
                <w:szCs w:val="16"/>
              </w:rPr>
              <w:t>G</w:t>
            </w:r>
          </w:p>
        </w:tc>
        <w:tc>
          <w:tcPr>
            <w:tcW w:w="2250" w:type="dxa"/>
          </w:tcPr>
          <w:p w14:paraId="44F4B678" w14:textId="77777777" w:rsidR="000336D7" w:rsidRDefault="000336D7" w:rsidP="00C05E09">
            <w:pPr>
              <w:rPr>
                <w:rFonts w:ascii="Poppins" w:hAnsi="Poppins" w:cs="Poppins"/>
                <w:sz w:val="16"/>
                <w:szCs w:val="16"/>
              </w:rPr>
            </w:pPr>
            <w:r>
              <w:rPr>
                <w:rFonts w:ascii="Poppins" w:hAnsi="Poppins" w:cs="Poppins"/>
                <w:sz w:val="16"/>
                <w:szCs w:val="16"/>
              </w:rPr>
              <w:t>20</w:t>
            </w:r>
            <w:r w:rsidRPr="000F10D0">
              <w:rPr>
                <w:rFonts w:ascii="Poppins" w:hAnsi="Poppins" w:cs="Poppins"/>
                <w:sz w:val="16"/>
                <w:szCs w:val="16"/>
              </w:rPr>
              <w:t xml:space="preserve"> nM BCE Calibrator</w:t>
            </w:r>
          </w:p>
        </w:tc>
        <w:tc>
          <w:tcPr>
            <w:tcW w:w="2340" w:type="dxa"/>
          </w:tcPr>
          <w:p w14:paraId="7B08F18E" w14:textId="77777777" w:rsidR="000336D7" w:rsidRDefault="000336D7" w:rsidP="00C05E09">
            <w:pPr>
              <w:rPr>
                <w:rFonts w:ascii="Poppins" w:hAnsi="Poppins" w:cs="Poppins"/>
                <w:sz w:val="16"/>
                <w:szCs w:val="16"/>
              </w:rPr>
            </w:pPr>
            <w:r w:rsidRPr="000F10D0">
              <w:rPr>
                <w:rFonts w:ascii="Poppins" w:hAnsi="Poppins" w:cs="Poppins"/>
                <w:sz w:val="16"/>
                <w:szCs w:val="16"/>
              </w:rPr>
              <w:t>Specimen #1</w:t>
            </w:r>
          </w:p>
        </w:tc>
        <w:tc>
          <w:tcPr>
            <w:tcW w:w="2340" w:type="dxa"/>
          </w:tcPr>
          <w:p w14:paraId="2127DE3B" w14:textId="77777777" w:rsidR="000336D7" w:rsidRDefault="000336D7" w:rsidP="00C05E09">
            <w:pPr>
              <w:rPr>
                <w:rFonts w:ascii="Poppins" w:hAnsi="Poppins" w:cs="Poppins"/>
                <w:sz w:val="16"/>
                <w:szCs w:val="16"/>
              </w:rPr>
            </w:pPr>
            <w:r w:rsidRPr="00B26CB4">
              <w:rPr>
                <w:rFonts w:ascii="Poppins" w:hAnsi="Poppins" w:cs="Poppins"/>
                <w:sz w:val="16"/>
                <w:szCs w:val="16"/>
              </w:rPr>
              <w:t>Specimen #</w:t>
            </w:r>
            <w:r>
              <w:rPr>
                <w:rFonts w:ascii="Poppins" w:hAnsi="Poppins" w:cs="Poppins"/>
                <w:sz w:val="16"/>
                <w:szCs w:val="16"/>
              </w:rPr>
              <w:t>9</w:t>
            </w:r>
          </w:p>
        </w:tc>
      </w:tr>
      <w:tr w:rsidR="000336D7" w14:paraId="2729DD58" w14:textId="77777777" w:rsidTr="00C05E09">
        <w:tc>
          <w:tcPr>
            <w:tcW w:w="540" w:type="dxa"/>
          </w:tcPr>
          <w:p w14:paraId="4194BF92" w14:textId="77777777" w:rsidR="000336D7" w:rsidRDefault="000336D7" w:rsidP="00C05E09">
            <w:pPr>
              <w:rPr>
                <w:rFonts w:ascii="Poppins" w:hAnsi="Poppins" w:cs="Poppins"/>
                <w:sz w:val="16"/>
                <w:szCs w:val="16"/>
              </w:rPr>
            </w:pPr>
            <w:r>
              <w:rPr>
                <w:rFonts w:ascii="Poppins" w:hAnsi="Poppins" w:cs="Poppins"/>
                <w:sz w:val="16"/>
                <w:szCs w:val="16"/>
              </w:rPr>
              <w:t>H</w:t>
            </w:r>
          </w:p>
        </w:tc>
        <w:tc>
          <w:tcPr>
            <w:tcW w:w="2250" w:type="dxa"/>
          </w:tcPr>
          <w:p w14:paraId="028616FD" w14:textId="77777777" w:rsidR="000336D7" w:rsidRDefault="000336D7" w:rsidP="00C05E09">
            <w:pPr>
              <w:rPr>
                <w:rFonts w:ascii="Poppins" w:hAnsi="Poppins" w:cs="Poppins"/>
                <w:sz w:val="16"/>
                <w:szCs w:val="16"/>
              </w:rPr>
            </w:pPr>
            <w:r>
              <w:rPr>
                <w:rFonts w:ascii="Poppins" w:hAnsi="Poppins" w:cs="Poppins"/>
                <w:sz w:val="16"/>
                <w:szCs w:val="16"/>
              </w:rPr>
              <w:t>20</w:t>
            </w:r>
            <w:r w:rsidRPr="000F10D0">
              <w:rPr>
                <w:rFonts w:ascii="Poppins" w:hAnsi="Poppins" w:cs="Poppins"/>
                <w:sz w:val="16"/>
                <w:szCs w:val="16"/>
              </w:rPr>
              <w:t xml:space="preserve"> nM BCE Calibrator</w:t>
            </w:r>
          </w:p>
        </w:tc>
        <w:tc>
          <w:tcPr>
            <w:tcW w:w="2340" w:type="dxa"/>
          </w:tcPr>
          <w:p w14:paraId="6D2C9E4E" w14:textId="77777777" w:rsidR="000336D7" w:rsidRDefault="000336D7" w:rsidP="00C05E09">
            <w:pPr>
              <w:rPr>
                <w:rFonts w:ascii="Poppins" w:hAnsi="Poppins" w:cs="Poppins"/>
                <w:sz w:val="16"/>
                <w:szCs w:val="16"/>
              </w:rPr>
            </w:pPr>
            <w:r w:rsidRPr="000F10D0">
              <w:rPr>
                <w:rFonts w:ascii="Poppins" w:hAnsi="Poppins" w:cs="Poppins"/>
                <w:sz w:val="16"/>
                <w:szCs w:val="16"/>
              </w:rPr>
              <w:t>Specimen #</w:t>
            </w:r>
            <w:r>
              <w:rPr>
                <w:rFonts w:ascii="Poppins" w:hAnsi="Poppins" w:cs="Poppins"/>
                <w:sz w:val="16"/>
                <w:szCs w:val="16"/>
              </w:rPr>
              <w:t>2</w:t>
            </w:r>
          </w:p>
        </w:tc>
        <w:tc>
          <w:tcPr>
            <w:tcW w:w="2340" w:type="dxa"/>
          </w:tcPr>
          <w:p w14:paraId="63C21198" w14:textId="77777777" w:rsidR="000336D7" w:rsidRDefault="000336D7" w:rsidP="00C05E09">
            <w:pPr>
              <w:rPr>
                <w:rFonts w:ascii="Poppins" w:hAnsi="Poppins" w:cs="Poppins"/>
                <w:sz w:val="16"/>
                <w:szCs w:val="16"/>
              </w:rPr>
            </w:pPr>
            <w:r w:rsidRPr="00B26CB4">
              <w:rPr>
                <w:rFonts w:ascii="Poppins" w:hAnsi="Poppins" w:cs="Poppins"/>
                <w:sz w:val="16"/>
                <w:szCs w:val="16"/>
              </w:rPr>
              <w:t>Specimen #</w:t>
            </w:r>
            <w:r>
              <w:rPr>
                <w:rFonts w:ascii="Poppins" w:hAnsi="Poppins" w:cs="Poppins"/>
                <w:sz w:val="16"/>
                <w:szCs w:val="16"/>
              </w:rPr>
              <w:t>10</w:t>
            </w:r>
          </w:p>
        </w:tc>
      </w:tr>
    </w:tbl>
    <w:p w14:paraId="0C1D4CBE" w14:textId="77777777" w:rsidR="000336D7" w:rsidRPr="000F10D0" w:rsidRDefault="000336D7" w:rsidP="000336D7">
      <w:pPr>
        <w:rPr>
          <w:rFonts w:ascii="Poppins" w:hAnsi="Poppins" w:cs="Poppins"/>
          <w:sz w:val="16"/>
          <w:szCs w:val="16"/>
        </w:rPr>
      </w:pPr>
    </w:p>
    <w:p w14:paraId="5B15CB58" w14:textId="77777777" w:rsidR="000336D7" w:rsidRPr="00125786"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t>Prepare working strength conjugate solution. Using a clean disposable plastic container, dilute the Antibody Conjugate Concentrate to a 1:101 ratio using Antibody Conjugate Diluent. Mix gently by inversion only. Do not vortex or use a magnetic stir bar. Avoid foaming. Do not reuse the container. Use the following table as a guideline for reagent preparation</w:t>
      </w:r>
      <w:r>
        <w:rPr>
          <w:rFonts w:ascii="Poppins" w:hAnsi="Poppins" w:cs="Poppins"/>
          <w:sz w:val="16"/>
          <w:szCs w:val="16"/>
        </w:rPr>
        <w:t>:</w:t>
      </w:r>
    </w:p>
    <w:tbl>
      <w:tblPr>
        <w:tblStyle w:val="TableGrid"/>
        <w:tblW w:w="0" w:type="auto"/>
        <w:tblInd w:w="2767" w:type="dxa"/>
        <w:tblLook w:val="04A0" w:firstRow="1" w:lastRow="0" w:firstColumn="1" w:lastColumn="0" w:noHBand="0" w:noVBand="1"/>
      </w:tblPr>
      <w:tblGrid>
        <w:gridCol w:w="1620"/>
        <w:gridCol w:w="1800"/>
        <w:gridCol w:w="1440"/>
      </w:tblGrid>
      <w:tr w:rsidR="000336D7" w14:paraId="0CAB5718" w14:textId="77777777" w:rsidTr="00C05E09">
        <w:tc>
          <w:tcPr>
            <w:tcW w:w="1620" w:type="dxa"/>
          </w:tcPr>
          <w:p w14:paraId="6E26E341" w14:textId="77777777" w:rsidR="000336D7" w:rsidRDefault="000336D7" w:rsidP="00C05E09">
            <w:pPr>
              <w:jc w:val="center"/>
              <w:rPr>
                <w:rFonts w:ascii="Poppins" w:hAnsi="Poppins" w:cs="Poppins"/>
                <w:sz w:val="16"/>
                <w:szCs w:val="16"/>
              </w:rPr>
            </w:pPr>
            <w:r>
              <w:rPr>
                <w:rFonts w:ascii="Poppins" w:hAnsi="Poppins" w:cs="Poppins"/>
                <w:sz w:val="16"/>
                <w:szCs w:val="16"/>
              </w:rPr>
              <w:t>Total Number of Assay Strips</w:t>
            </w:r>
          </w:p>
        </w:tc>
        <w:tc>
          <w:tcPr>
            <w:tcW w:w="1800" w:type="dxa"/>
          </w:tcPr>
          <w:p w14:paraId="64E93138" w14:textId="77777777" w:rsidR="000336D7" w:rsidRDefault="000336D7" w:rsidP="00C05E09">
            <w:pPr>
              <w:jc w:val="center"/>
              <w:rPr>
                <w:rFonts w:ascii="Poppins" w:hAnsi="Poppins" w:cs="Poppins"/>
                <w:sz w:val="16"/>
                <w:szCs w:val="16"/>
              </w:rPr>
            </w:pPr>
            <w:r>
              <w:rPr>
                <w:rFonts w:ascii="Poppins" w:hAnsi="Poppins" w:cs="Poppins"/>
                <w:sz w:val="16"/>
                <w:szCs w:val="16"/>
              </w:rPr>
              <w:t>Conjugate Concentrate (uL)</w:t>
            </w:r>
          </w:p>
        </w:tc>
        <w:tc>
          <w:tcPr>
            <w:tcW w:w="1440" w:type="dxa"/>
          </w:tcPr>
          <w:p w14:paraId="61120DE1" w14:textId="77777777" w:rsidR="000336D7" w:rsidRDefault="000336D7" w:rsidP="00C05E09">
            <w:pPr>
              <w:jc w:val="center"/>
              <w:rPr>
                <w:rFonts w:ascii="Poppins" w:hAnsi="Poppins" w:cs="Poppins"/>
                <w:sz w:val="16"/>
                <w:szCs w:val="16"/>
              </w:rPr>
            </w:pPr>
            <w:r>
              <w:rPr>
                <w:rFonts w:ascii="Poppins" w:hAnsi="Poppins" w:cs="Poppins"/>
                <w:sz w:val="16"/>
                <w:szCs w:val="16"/>
              </w:rPr>
              <w:t>Conjugate Diluent (mL)</w:t>
            </w:r>
          </w:p>
        </w:tc>
      </w:tr>
      <w:tr w:rsidR="000336D7" w14:paraId="329A3C26" w14:textId="77777777" w:rsidTr="00C05E09">
        <w:tc>
          <w:tcPr>
            <w:tcW w:w="1620" w:type="dxa"/>
          </w:tcPr>
          <w:p w14:paraId="2438EBD8" w14:textId="77777777" w:rsidR="000336D7" w:rsidRDefault="000336D7" w:rsidP="00C05E09">
            <w:pPr>
              <w:jc w:val="center"/>
              <w:rPr>
                <w:rFonts w:ascii="Poppins" w:hAnsi="Poppins" w:cs="Poppins"/>
                <w:sz w:val="16"/>
                <w:szCs w:val="16"/>
              </w:rPr>
            </w:pPr>
            <w:r>
              <w:rPr>
                <w:rFonts w:ascii="Poppins" w:hAnsi="Poppins" w:cs="Poppins"/>
                <w:sz w:val="16"/>
                <w:szCs w:val="16"/>
              </w:rPr>
              <w:t>3 to 4</w:t>
            </w:r>
          </w:p>
        </w:tc>
        <w:tc>
          <w:tcPr>
            <w:tcW w:w="1800" w:type="dxa"/>
          </w:tcPr>
          <w:p w14:paraId="36BC72D2" w14:textId="77777777" w:rsidR="000336D7" w:rsidRDefault="000336D7" w:rsidP="00C05E09">
            <w:pPr>
              <w:jc w:val="center"/>
              <w:rPr>
                <w:rFonts w:ascii="Poppins" w:hAnsi="Poppins" w:cs="Poppins"/>
                <w:sz w:val="16"/>
                <w:szCs w:val="16"/>
              </w:rPr>
            </w:pPr>
            <w:r>
              <w:rPr>
                <w:rFonts w:ascii="Poppins" w:hAnsi="Poppins" w:cs="Poppins"/>
                <w:sz w:val="16"/>
                <w:szCs w:val="16"/>
              </w:rPr>
              <w:t>40</w:t>
            </w:r>
          </w:p>
        </w:tc>
        <w:tc>
          <w:tcPr>
            <w:tcW w:w="1440" w:type="dxa"/>
          </w:tcPr>
          <w:p w14:paraId="768DA25A" w14:textId="77777777" w:rsidR="000336D7" w:rsidRDefault="000336D7" w:rsidP="00C05E09">
            <w:pPr>
              <w:jc w:val="center"/>
              <w:rPr>
                <w:rFonts w:ascii="Poppins" w:hAnsi="Poppins" w:cs="Poppins"/>
                <w:sz w:val="16"/>
                <w:szCs w:val="16"/>
              </w:rPr>
            </w:pPr>
            <w:r>
              <w:rPr>
                <w:rFonts w:ascii="Poppins" w:hAnsi="Poppins" w:cs="Poppins"/>
                <w:sz w:val="16"/>
                <w:szCs w:val="16"/>
              </w:rPr>
              <w:t>4</w:t>
            </w:r>
          </w:p>
        </w:tc>
      </w:tr>
      <w:tr w:rsidR="000336D7" w14:paraId="31581426" w14:textId="77777777" w:rsidTr="00C05E09">
        <w:tc>
          <w:tcPr>
            <w:tcW w:w="1620" w:type="dxa"/>
          </w:tcPr>
          <w:p w14:paraId="6202558B" w14:textId="77777777" w:rsidR="000336D7" w:rsidRDefault="000336D7" w:rsidP="00C05E09">
            <w:pPr>
              <w:jc w:val="center"/>
              <w:rPr>
                <w:rFonts w:ascii="Poppins" w:hAnsi="Poppins" w:cs="Poppins"/>
                <w:sz w:val="16"/>
                <w:szCs w:val="16"/>
              </w:rPr>
            </w:pPr>
            <w:r>
              <w:rPr>
                <w:rFonts w:ascii="Poppins" w:hAnsi="Poppins" w:cs="Poppins"/>
                <w:sz w:val="16"/>
                <w:szCs w:val="16"/>
              </w:rPr>
              <w:t>5 to 8</w:t>
            </w:r>
          </w:p>
        </w:tc>
        <w:tc>
          <w:tcPr>
            <w:tcW w:w="1800" w:type="dxa"/>
          </w:tcPr>
          <w:p w14:paraId="0E98AA3D" w14:textId="77777777" w:rsidR="000336D7" w:rsidRDefault="000336D7" w:rsidP="00C05E09">
            <w:pPr>
              <w:jc w:val="center"/>
              <w:rPr>
                <w:rFonts w:ascii="Poppins" w:hAnsi="Poppins" w:cs="Poppins"/>
                <w:sz w:val="16"/>
                <w:szCs w:val="16"/>
              </w:rPr>
            </w:pPr>
            <w:r>
              <w:rPr>
                <w:rFonts w:ascii="Poppins" w:hAnsi="Poppins" w:cs="Poppins"/>
                <w:sz w:val="16"/>
                <w:szCs w:val="16"/>
              </w:rPr>
              <w:t>80</w:t>
            </w:r>
          </w:p>
        </w:tc>
        <w:tc>
          <w:tcPr>
            <w:tcW w:w="1440" w:type="dxa"/>
          </w:tcPr>
          <w:p w14:paraId="11C7997D" w14:textId="77777777" w:rsidR="000336D7" w:rsidRDefault="000336D7" w:rsidP="00C05E09">
            <w:pPr>
              <w:jc w:val="center"/>
              <w:rPr>
                <w:rFonts w:ascii="Poppins" w:hAnsi="Poppins" w:cs="Poppins"/>
                <w:sz w:val="16"/>
                <w:szCs w:val="16"/>
              </w:rPr>
            </w:pPr>
            <w:r>
              <w:rPr>
                <w:rFonts w:ascii="Poppins" w:hAnsi="Poppins" w:cs="Poppins"/>
                <w:sz w:val="16"/>
                <w:szCs w:val="16"/>
              </w:rPr>
              <w:t>8</w:t>
            </w:r>
          </w:p>
        </w:tc>
      </w:tr>
      <w:tr w:rsidR="000336D7" w14:paraId="26F65F19" w14:textId="77777777" w:rsidTr="00C05E09">
        <w:tc>
          <w:tcPr>
            <w:tcW w:w="1620" w:type="dxa"/>
          </w:tcPr>
          <w:p w14:paraId="1B09B113" w14:textId="77777777" w:rsidR="000336D7" w:rsidRDefault="000336D7" w:rsidP="00C05E09">
            <w:pPr>
              <w:jc w:val="center"/>
              <w:rPr>
                <w:rFonts w:ascii="Poppins" w:hAnsi="Poppins" w:cs="Poppins"/>
                <w:sz w:val="16"/>
                <w:szCs w:val="16"/>
              </w:rPr>
            </w:pPr>
            <w:r>
              <w:rPr>
                <w:rFonts w:ascii="Poppins" w:hAnsi="Poppins" w:cs="Poppins"/>
                <w:sz w:val="16"/>
                <w:szCs w:val="16"/>
              </w:rPr>
              <w:t>9 to 12</w:t>
            </w:r>
          </w:p>
        </w:tc>
        <w:tc>
          <w:tcPr>
            <w:tcW w:w="1800" w:type="dxa"/>
          </w:tcPr>
          <w:p w14:paraId="5DDAF360" w14:textId="77777777" w:rsidR="000336D7" w:rsidRDefault="000336D7" w:rsidP="00C05E09">
            <w:pPr>
              <w:jc w:val="center"/>
              <w:rPr>
                <w:rFonts w:ascii="Poppins" w:hAnsi="Poppins" w:cs="Poppins"/>
                <w:sz w:val="16"/>
                <w:szCs w:val="16"/>
              </w:rPr>
            </w:pPr>
            <w:r>
              <w:rPr>
                <w:rFonts w:ascii="Poppins" w:hAnsi="Poppins" w:cs="Poppins"/>
                <w:sz w:val="16"/>
                <w:szCs w:val="16"/>
              </w:rPr>
              <w:t>120</w:t>
            </w:r>
          </w:p>
        </w:tc>
        <w:tc>
          <w:tcPr>
            <w:tcW w:w="1440" w:type="dxa"/>
          </w:tcPr>
          <w:p w14:paraId="33B7A309" w14:textId="77777777" w:rsidR="000336D7" w:rsidRDefault="000336D7" w:rsidP="00C05E09">
            <w:pPr>
              <w:jc w:val="center"/>
              <w:rPr>
                <w:rFonts w:ascii="Poppins" w:hAnsi="Poppins" w:cs="Poppins"/>
                <w:sz w:val="16"/>
                <w:szCs w:val="16"/>
              </w:rPr>
            </w:pPr>
            <w:r>
              <w:rPr>
                <w:rFonts w:ascii="Poppins" w:hAnsi="Poppins" w:cs="Poppins"/>
                <w:sz w:val="16"/>
                <w:szCs w:val="16"/>
              </w:rPr>
              <w:t>12</w:t>
            </w:r>
          </w:p>
        </w:tc>
      </w:tr>
      <w:tr w:rsidR="000336D7" w14:paraId="3E19BAEE" w14:textId="77777777" w:rsidTr="00C05E09">
        <w:tc>
          <w:tcPr>
            <w:tcW w:w="4860" w:type="dxa"/>
            <w:gridSpan w:val="3"/>
          </w:tcPr>
          <w:p w14:paraId="54AAF8DB" w14:textId="77777777" w:rsidR="000336D7" w:rsidRPr="00125786" w:rsidRDefault="000336D7" w:rsidP="00C05E09">
            <w:pPr>
              <w:rPr>
                <w:rFonts w:ascii="Poppins" w:hAnsi="Poppins" w:cs="Poppins"/>
                <w:sz w:val="13"/>
                <w:szCs w:val="13"/>
              </w:rPr>
            </w:pPr>
            <w:r>
              <w:rPr>
                <w:rFonts w:ascii="Poppins" w:hAnsi="Poppins" w:cs="Poppins"/>
                <w:sz w:val="13"/>
                <w:szCs w:val="13"/>
              </w:rPr>
              <w:t>NOTE: Use the diluted conjugate solution within one hour of preparation.</w:t>
            </w:r>
          </w:p>
        </w:tc>
      </w:tr>
    </w:tbl>
    <w:p w14:paraId="7C252056" w14:textId="77777777" w:rsidR="000336D7" w:rsidRPr="00125786" w:rsidRDefault="000336D7" w:rsidP="000336D7">
      <w:pPr>
        <w:rPr>
          <w:rFonts w:ascii="Poppins" w:hAnsi="Poppins" w:cs="Poppins"/>
          <w:sz w:val="16"/>
          <w:szCs w:val="16"/>
        </w:rPr>
      </w:pPr>
    </w:p>
    <w:p w14:paraId="37568851" w14:textId="77777777" w:rsidR="000336D7" w:rsidRDefault="000336D7" w:rsidP="000336D7">
      <w:pPr>
        <w:pStyle w:val="ListParagraph"/>
        <w:numPr>
          <w:ilvl w:val="0"/>
          <w:numId w:val="23"/>
        </w:numPr>
        <w:rPr>
          <w:rFonts w:ascii="Poppins" w:hAnsi="Poppins" w:cs="Poppins"/>
          <w:sz w:val="16"/>
          <w:szCs w:val="16"/>
        </w:rPr>
      </w:pPr>
      <w:r w:rsidRPr="00422FBD">
        <w:rPr>
          <w:rFonts w:ascii="Poppins" w:hAnsi="Poppins" w:cs="Poppins"/>
          <w:sz w:val="16"/>
          <w:szCs w:val="16"/>
        </w:rPr>
        <w:t>Thoroughly mix the Calibrators, Controls and specimens</w:t>
      </w:r>
      <w:r>
        <w:rPr>
          <w:rFonts w:ascii="Poppins" w:hAnsi="Poppins" w:cs="Poppins"/>
          <w:sz w:val="16"/>
          <w:szCs w:val="16"/>
        </w:rPr>
        <w:t>.</w:t>
      </w:r>
    </w:p>
    <w:p w14:paraId="0DB855AF" w14:textId="77777777" w:rsidR="000336D7"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t>Prepare 1:5 dilutions of all Calibrators, Controls and specimens with Specimen Diluent in microtubes, or equivalent (1 part sample and 4 parts Specimen Diluent). A minimum volume of 200 µL diluted sample is required for each sample. (e.g. 50 µL sample + 200 µL diluent). Vortex the diluted samples to mix thoroughly, avoid foaming</w:t>
      </w:r>
      <w:r>
        <w:rPr>
          <w:rFonts w:ascii="Poppins" w:hAnsi="Poppins" w:cs="Poppins"/>
          <w:sz w:val="16"/>
          <w:szCs w:val="16"/>
        </w:rPr>
        <w:t>.</w:t>
      </w:r>
    </w:p>
    <w:p w14:paraId="73BBCE46" w14:textId="77777777" w:rsidR="000336D7" w:rsidRPr="00125786" w:rsidRDefault="000336D7" w:rsidP="000336D7">
      <w:pPr>
        <w:pStyle w:val="ListParagraph"/>
        <w:numPr>
          <w:ilvl w:val="0"/>
          <w:numId w:val="23"/>
        </w:numPr>
        <w:rPr>
          <w:rFonts w:ascii="Poppins" w:hAnsi="Poppins" w:cs="Poppins"/>
          <w:sz w:val="16"/>
          <w:szCs w:val="16"/>
        </w:rPr>
      </w:pPr>
      <w:r w:rsidRPr="00422FBD">
        <w:rPr>
          <w:rFonts w:ascii="Poppins" w:hAnsi="Poppins" w:cs="Poppins"/>
          <w:sz w:val="16"/>
          <w:szCs w:val="16"/>
        </w:rPr>
        <w:t>Remove the appropriate number of microwell strips from the sealed foil pouch. Place any unused strips back in the pouch, resealing the pouch along the zipper. Do not remove the desiccant pillow from the foil pouch</w:t>
      </w:r>
      <w:r>
        <w:rPr>
          <w:rFonts w:ascii="Poppins" w:hAnsi="Poppins" w:cs="Poppins"/>
          <w:sz w:val="16"/>
          <w:szCs w:val="16"/>
        </w:rPr>
        <w:t>.</w:t>
      </w:r>
    </w:p>
    <w:p w14:paraId="22EF2BD4" w14:textId="77777777" w:rsidR="000336D7" w:rsidRDefault="000336D7" w:rsidP="000336D7">
      <w:pPr>
        <w:rPr>
          <w:rFonts w:ascii="Poppins" w:hAnsi="Poppins" w:cs="Poppins"/>
          <w:b/>
          <w:bCs/>
          <w:sz w:val="16"/>
          <w:szCs w:val="16"/>
        </w:rPr>
      </w:pPr>
    </w:p>
    <w:p w14:paraId="4C713A55" w14:textId="77777777" w:rsidR="000336D7" w:rsidRPr="00D821C8" w:rsidRDefault="000336D7" w:rsidP="000336D7">
      <w:pPr>
        <w:rPr>
          <w:rFonts w:ascii="Poppins" w:hAnsi="Poppins" w:cs="Poppins"/>
          <w:b/>
          <w:bCs/>
          <w:sz w:val="16"/>
          <w:szCs w:val="16"/>
        </w:rPr>
      </w:pPr>
      <w:r w:rsidRPr="00D821C8">
        <w:rPr>
          <w:rFonts w:ascii="Poppins" w:hAnsi="Poppins" w:cs="Poppins"/>
          <w:b/>
          <w:bCs/>
          <w:sz w:val="16"/>
          <w:szCs w:val="16"/>
        </w:rPr>
        <w:t>Specimen and Antibody Incubation</w:t>
      </w:r>
    </w:p>
    <w:p w14:paraId="2ED7B24F" w14:textId="77777777" w:rsidR="000336D7" w:rsidRPr="00D821C8" w:rsidRDefault="000336D7" w:rsidP="000336D7">
      <w:pPr>
        <w:rPr>
          <w:rFonts w:ascii="Poppins" w:hAnsi="Poppins" w:cs="Poppins"/>
          <w:b/>
          <w:bCs/>
          <w:sz w:val="16"/>
          <w:szCs w:val="16"/>
        </w:rPr>
      </w:pPr>
      <w:r w:rsidRPr="00D821C8">
        <w:rPr>
          <w:rFonts w:ascii="Poppins" w:hAnsi="Poppins" w:cs="Poppins"/>
          <w:b/>
          <w:bCs/>
          <w:sz w:val="16"/>
          <w:szCs w:val="16"/>
        </w:rPr>
        <w:t>Once the assay has been started, complete it without interruption.</w:t>
      </w:r>
    </w:p>
    <w:p w14:paraId="23E05BF7" w14:textId="77777777" w:rsidR="000336D7" w:rsidRPr="00125786"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lastRenderedPageBreak/>
        <w:t>Pipette 100 µL of each diluted Calibrator, Control or sample into the microplate according to the plate configuration. It is recommended that calibrators and controls be run in duplicate. Use a calibrated pipettor and a new pipette tip for each Calibrator, Control, and sample. Immediately proceed to step 9.</w:t>
      </w:r>
    </w:p>
    <w:p w14:paraId="7134CF58" w14:textId="77777777" w:rsidR="000336D7" w:rsidRPr="00125786"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t>Using a multichannel pipette, deliver 100 µL of working strength conjugate solution into each microwell. Apply a plate sealer and gently swirl the plate on a flat surface for 15-20 seconds to ensure mixing.</w:t>
      </w:r>
    </w:p>
    <w:p w14:paraId="12036127" w14:textId="77777777" w:rsidR="000336D7" w:rsidRPr="00125786"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t>Incubate the plate at room temperature (20-25</w:t>
      </w:r>
      <w:r>
        <w:rPr>
          <w:rFonts w:ascii="Poppins" w:hAnsi="Poppins" w:cs="Poppins"/>
          <w:sz w:val="16"/>
          <w:szCs w:val="16"/>
        </w:rPr>
        <w:t xml:space="preserve"> </w:t>
      </w:r>
      <w:r w:rsidRPr="00125786">
        <w:rPr>
          <w:rFonts w:ascii="Poppins" w:hAnsi="Poppins" w:cs="Poppins"/>
          <w:sz w:val="16"/>
          <w:szCs w:val="16"/>
        </w:rPr>
        <w:t>ºC) for 90 ± 5 minutes.</w:t>
      </w:r>
    </w:p>
    <w:p w14:paraId="26B2C426" w14:textId="77777777" w:rsidR="000336D7" w:rsidRDefault="000336D7" w:rsidP="000336D7">
      <w:pPr>
        <w:pStyle w:val="ListParagraph"/>
        <w:numPr>
          <w:ilvl w:val="0"/>
          <w:numId w:val="23"/>
        </w:numPr>
        <w:rPr>
          <w:rFonts w:ascii="Poppins" w:hAnsi="Poppins" w:cs="Poppins"/>
          <w:sz w:val="16"/>
          <w:szCs w:val="16"/>
        </w:rPr>
      </w:pPr>
      <w:r w:rsidRPr="00125786">
        <w:rPr>
          <w:rFonts w:ascii="Poppins" w:hAnsi="Poppins" w:cs="Poppins"/>
          <w:sz w:val="16"/>
          <w:szCs w:val="16"/>
        </w:rPr>
        <w:t>Prepare Chromogen Reagent/Buffered Substrate solution during the last 5 minutes of incubation. Dilute Chromogen Reagent into Buffered Substrate using a 1:101 ratio. Use a clean, disposable, plastic container. Do not re-use disposable container. Mix well by inversion only. Do not vortex, shake vigorously or use a magnetic stir bar to mix. (This solution should be colorless when mixed. A blue color indicates that the reagent may be contaminated and should be discarded.) As a guideline, prepare 2 mL of solution (20 µL Chromogen Reagent into 2 mL Buffered Substrate) per strip assayed.</w:t>
      </w:r>
    </w:p>
    <w:p w14:paraId="331BBB60" w14:textId="77777777" w:rsidR="000336D7" w:rsidRPr="004D157D"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At the end of the incubation period, carefully remove and discard the plate sealer. Wash microwells five (5) times with the working strength wash solution using an automated plate washer. Use a minimum wash volume of 350 µL per well per wash cycle. Blot on absorbent paper after the final wash. (Too few or too many washes may cause inaccurate results.) Immediately proceed to step 13. Do not allow strips to dry.</w:t>
      </w:r>
    </w:p>
    <w:p w14:paraId="78720643" w14:textId="77777777" w:rsidR="000336D7" w:rsidRDefault="000336D7" w:rsidP="000336D7">
      <w:pPr>
        <w:rPr>
          <w:rFonts w:ascii="Poppins" w:hAnsi="Poppins" w:cs="Poppins"/>
          <w:b/>
          <w:bCs/>
          <w:sz w:val="16"/>
          <w:szCs w:val="16"/>
        </w:rPr>
      </w:pPr>
    </w:p>
    <w:p w14:paraId="4967335F" w14:textId="77777777" w:rsidR="000336D7" w:rsidRPr="00223C73" w:rsidRDefault="000336D7" w:rsidP="000336D7">
      <w:pPr>
        <w:rPr>
          <w:rFonts w:ascii="Poppins" w:hAnsi="Poppins" w:cs="Poppins"/>
          <w:b/>
          <w:bCs/>
          <w:sz w:val="16"/>
          <w:szCs w:val="16"/>
        </w:rPr>
      </w:pPr>
      <w:r w:rsidRPr="00223C73">
        <w:rPr>
          <w:rFonts w:ascii="Poppins" w:hAnsi="Poppins" w:cs="Poppins"/>
          <w:b/>
          <w:bCs/>
          <w:sz w:val="16"/>
          <w:szCs w:val="16"/>
        </w:rPr>
        <w:t>Color Development and Measurement</w:t>
      </w:r>
    </w:p>
    <w:p w14:paraId="172AA73E" w14:textId="77777777" w:rsidR="000336D7"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Using a multichannel pipettor, add 200 µL diluted Chromogen Reagent/Buffered Substrate to each microwell. Apply a new plate sealer.</w:t>
      </w:r>
    </w:p>
    <w:p w14:paraId="5A5EC64B" w14:textId="77777777" w:rsidR="000336D7"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Incubate at room temperature (20-25</w:t>
      </w:r>
      <w:r>
        <w:rPr>
          <w:rFonts w:ascii="Poppins" w:hAnsi="Poppins" w:cs="Poppins"/>
          <w:sz w:val="16"/>
          <w:szCs w:val="16"/>
        </w:rPr>
        <w:t xml:space="preserve"> </w:t>
      </w:r>
      <w:r w:rsidRPr="004D157D">
        <w:rPr>
          <w:rFonts w:ascii="Poppins" w:hAnsi="Poppins" w:cs="Poppins"/>
          <w:sz w:val="16"/>
          <w:szCs w:val="16"/>
        </w:rPr>
        <w:t>ºC) for 30 ± 2 minutes. A blue color will develop in wells containing bound antibody-horseradish peroxidase conjugate.</w:t>
      </w:r>
    </w:p>
    <w:p w14:paraId="00EA241C" w14:textId="77777777" w:rsidR="000336D7"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At the end of the incubation, carefully remove and discard the plate sealer.</w:t>
      </w:r>
    </w:p>
    <w:p w14:paraId="3177F920" w14:textId="77777777" w:rsidR="000336D7"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Using the multichannel pipettor, add 100 µL of Stopping Reagent to each well. Wells that have developed a blue color will turn yellow. Swirl the plate gently on a flat surface for 15-20 seconds to ensure mixing. Allow the plate to sit at room temperature (20-25</w:t>
      </w:r>
      <w:r>
        <w:rPr>
          <w:rFonts w:ascii="Poppins" w:hAnsi="Poppins" w:cs="Poppins"/>
          <w:sz w:val="16"/>
          <w:szCs w:val="16"/>
        </w:rPr>
        <w:t xml:space="preserve"> </w:t>
      </w:r>
      <w:r w:rsidRPr="004D157D">
        <w:rPr>
          <w:rFonts w:ascii="Poppins" w:hAnsi="Poppins" w:cs="Poppins"/>
          <w:sz w:val="16"/>
          <w:szCs w:val="16"/>
        </w:rPr>
        <w:t>ºC) for 5 minutes before reading absorbance values.</w:t>
      </w:r>
    </w:p>
    <w:p w14:paraId="629D07E2" w14:textId="77777777" w:rsidR="000336D7" w:rsidRPr="004D157D" w:rsidRDefault="000336D7" w:rsidP="000336D7">
      <w:pPr>
        <w:pStyle w:val="ListParagraph"/>
        <w:numPr>
          <w:ilvl w:val="0"/>
          <w:numId w:val="23"/>
        </w:numPr>
        <w:rPr>
          <w:rFonts w:ascii="Poppins" w:hAnsi="Poppins" w:cs="Poppins"/>
          <w:sz w:val="16"/>
          <w:szCs w:val="16"/>
        </w:rPr>
      </w:pPr>
      <w:r w:rsidRPr="004D157D">
        <w:rPr>
          <w:rFonts w:ascii="Poppins" w:hAnsi="Poppins" w:cs="Poppins"/>
          <w:sz w:val="16"/>
          <w:szCs w:val="16"/>
        </w:rPr>
        <w:t>Within 30 minutes of adding the Stopping Reagent, read the absorbance of the Calibrators, Controls, and specimens using a microwell plate reader (read at 450 nm with a 630 nm reference filter).</w:t>
      </w:r>
    </w:p>
    <w:p w14:paraId="766722C4" w14:textId="2104B471" w:rsidR="00DA7BBB" w:rsidRDefault="00F019AA" w:rsidP="00DA7BBB">
      <w:pPr>
        <w:spacing w:before="240"/>
        <w:rPr>
          <w:rFonts w:ascii="Poppins" w:hAnsi="Poppins" w:cs="Poppins"/>
          <w:b/>
          <w:color w:val="E36C0A" w:themeColor="accent6" w:themeShade="BF"/>
        </w:rPr>
      </w:pPr>
      <w:r>
        <w:rPr>
          <w:rFonts w:ascii="Poppins" w:hAnsi="Poppins" w:cs="Poppins"/>
          <w:b/>
          <w:color w:val="E36C0A" w:themeColor="accent6" w:themeShade="BF"/>
        </w:rPr>
        <w:t>ANALYSIS OF RESULTS</w:t>
      </w:r>
    </w:p>
    <w:p w14:paraId="3C098619" w14:textId="353F551C" w:rsidR="000336D7"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 xml:space="preserve">The </w:t>
      </w:r>
      <w:r w:rsidR="004324C3">
        <w:rPr>
          <w:rFonts w:ascii="Poppins" w:hAnsi="Poppins" w:cs="Poppins"/>
          <w:sz w:val="16"/>
          <w:szCs w:val="16"/>
        </w:rPr>
        <w:t>NTx Serum</w:t>
      </w:r>
      <w:r w:rsidRPr="004D157D">
        <w:rPr>
          <w:rFonts w:ascii="Poppins" w:hAnsi="Poppins" w:cs="Poppins"/>
          <w:sz w:val="16"/>
          <w:szCs w:val="16"/>
        </w:rPr>
        <w:t xml:space="preserve"> assay values are expressed in nanomoles BCE/ L (nM BCE).</w:t>
      </w:r>
    </w:p>
    <w:p w14:paraId="546A42F3" w14:textId="77777777" w:rsidR="000336D7"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Determine the concentration values (nM BCE) of Controls and specimens from the calibration curve. The most accurate results are obtained using a 4-parameter logistic curve fitting equation. [NOTE: Some 4-parameter logistic curve fitting equation software packages do not accept a calibrator value of 0, requiring entry of a nominal concentration (such as 0.001) for the 0 nM BCE calibrator.]</w:t>
      </w:r>
    </w:p>
    <w:p w14:paraId="0B974444" w14:textId="77777777" w:rsidR="000336D7"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Assay results are valid if the following criteria are met:</w:t>
      </w:r>
    </w:p>
    <w:p w14:paraId="45228BF7" w14:textId="77777777" w:rsidR="000336D7" w:rsidRDefault="000336D7" w:rsidP="000336D7">
      <w:pPr>
        <w:pStyle w:val="ListParagraph"/>
        <w:numPr>
          <w:ilvl w:val="1"/>
          <w:numId w:val="24"/>
        </w:numPr>
        <w:rPr>
          <w:rFonts w:ascii="Poppins" w:hAnsi="Poppins" w:cs="Poppins"/>
          <w:sz w:val="16"/>
          <w:szCs w:val="16"/>
        </w:rPr>
      </w:pPr>
      <w:r w:rsidRPr="004D157D">
        <w:rPr>
          <w:rFonts w:ascii="Poppins" w:hAnsi="Poppins" w:cs="Poppins"/>
          <w:sz w:val="16"/>
          <w:szCs w:val="16"/>
        </w:rPr>
        <w:t>mean absorbance of the 0 nM BCE Calibrator is greater than or equal to 1.300</w:t>
      </w:r>
      <w:r>
        <w:rPr>
          <w:rFonts w:ascii="Poppins" w:hAnsi="Poppins" w:cs="Poppins"/>
          <w:sz w:val="16"/>
          <w:szCs w:val="16"/>
        </w:rPr>
        <w:t>.</w:t>
      </w:r>
    </w:p>
    <w:p w14:paraId="59606376" w14:textId="77777777" w:rsidR="000336D7" w:rsidRDefault="000336D7" w:rsidP="000336D7">
      <w:pPr>
        <w:pStyle w:val="ListParagraph"/>
        <w:numPr>
          <w:ilvl w:val="1"/>
          <w:numId w:val="24"/>
        </w:numPr>
        <w:rPr>
          <w:rFonts w:ascii="Poppins" w:hAnsi="Poppins" w:cs="Poppins"/>
          <w:sz w:val="16"/>
          <w:szCs w:val="16"/>
        </w:rPr>
      </w:pPr>
      <w:r w:rsidRPr="004D157D">
        <w:rPr>
          <w:rFonts w:ascii="Poppins" w:hAnsi="Poppins" w:cs="Poppins"/>
          <w:sz w:val="16"/>
          <w:szCs w:val="16"/>
        </w:rPr>
        <w:t>the span of the calibrator curve (absorbance difference between 0 nM BCE Calibrator and the 40 nM BCE Calibrator) is greater than or equal to 0.900.</w:t>
      </w:r>
    </w:p>
    <w:p w14:paraId="61D492D0" w14:textId="77777777" w:rsidR="000336D7"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 xml:space="preserve">If specimens are run in duplicate, the recommended coefficient of variation (% CV) between concentration value (nM BCE) duplicates is </w:t>
      </w:r>
      <w:r w:rsidRPr="006F5417">
        <w:rPr>
          <w:rFonts w:ascii="Poppins" w:hAnsi="Poppins" w:cs="Poppins"/>
          <w:sz w:val="16"/>
          <w:szCs w:val="16"/>
          <w:u w:val="single"/>
        </w:rPr>
        <w:t>&lt;</w:t>
      </w:r>
      <w:r>
        <w:rPr>
          <w:rFonts w:ascii="Poppins" w:hAnsi="Poppins" w:cs="Poppins"/>
          <w:sz w:val="16"/>
          <w:szCs w:val="16"/>
        </w:rPr>
        <w:t>20%.</w:t>
      </w:r>
      <w:r w:rsidRPr="004D157D">
        <w:rPr>
          <w:rFonts w:ascii="Poppins" w:hAnsi="Poppins" w:cs="Poppins"/>
          <w:sz w:val="16"/>
          <w:szCs w:val="16"/>
        </w:rPr>
        <w:t xml:space="preserve">   Those with &gt;20% CV should be rerun.</w:t>
      </w:r>
    </w:p>
    <w:p w14:paraId="33111373" w14:textId="77777777" w:rsidR="000336D7"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 xml:space="preserve">Patient specimens giving absorbance values </w:t>
      </w:r>
      <w:r>
        <w:rPr>
          <w:rFonts w:ascii="Poppins" w:hAnsi="Poppins" w:cs="Poppins"/>
          <w:sz w:val="16"/>
          <w:szCs w:val="16"/>
        </w:rPr>
        <w:t>below</w:t>
      </w:r>
      <w:r w:rsidRPr="004D157D">
        <w:rPr>
          <w:rFonts w:ascii="Poppins" w:hAnsi="Poppins" w:cs="Poppins"/>
          <w:sz w:val="16"/>
          <w:szCs w:val="16"/>
        </w:rPr>
        <w:t xml:space="preserve"> the 40 nM BCE calibrator should be diluted 1:2 in the 0 nM BCE Calibrator (1 part specimen and 1 part 0 nM BCE Calibrator) before diluting 1:5 in Specimen Diluent, and retested. Calculate final result by multiplying the concentration determined from the diluted sample by a factor of 2.</w:t>
      </w:r>
    </w:p>
    <w:p w14:paraId="3123ED1C" w14:textId="77777777" w:rsidR="000336D7" w:rsidRPr="004D157D" w:rsidRDefault="000336D7" w:rsidP="000336D7">
      <w:pPr>
        <w:pStyle w:val="ListParagraph"/>
        <w:numPr>
          <w:ilvl w:val="0"/>
          <w:numId w:val="24"/>
        </w:numPr>
        <w:rPr>
          <w:rFonts w:ascii="Poppins" w:hAnsi="Poppins" w:cs="Poppins"/>
          <w:sz w:val="16"/>
          <w:szCs w:val="16"/>
        </w:rPr>
      </w:pPr>
      <w:r w:rsidRPr="004D157D">
        <w:rPr>
          <w:rFonts w:ascii="Poppins" w:hAnsi="Poppins" w:cs="Poppins"/>
          <w:sz w:val="16"/>
          <w:szCs w:val="16"/>
        </w:rPr>
        <w:t>These Serum Control ranges have been established by the manufacturer. It is recommended that each laboratory establish its own ranges.</w:t>
      </w:r>
    </w:p>
    <w:p w14:paraId="289CED95" w14:textId="6CA20859" w:rsidR="003A2080" w:rsidRPr="00EB35F9" w:rsidRDefault="00CD43E6" w:rsidP="0055084E">
      <w:pPr>
        <w:spacing w:before="240"/>
        <w:rPr>
          <w:rFonts w:ascii="Poppins" w:hAnsi="Poppins" w:cs="Poppins"/>
          <w:b/>
          <w:color w:val="E36C0A" w:themeColor="accent6" w:themeShade="BF"/>
        </w:rPr>
      </w:pPr>
      <w:r w:rsidRPr="00EB35F9">
        <w:rPr>
          <w:rFonts w:ascii="Poppins" w:hAnsi="Poppins" w:cs="Poppins"/>
          <w:b/>
          <w:color w:val="E36C0A" w:themeColor="accent6" w:themeShade="BF"/>
          <w:szCs w:val="16"/>
        </w:rPr>
        <w:t xml:space="preserve">LIMITATIONS OF THE </w:t>
      </w:r>
      <w:r w:rsidR="00C65856">
        <w:rPr>
          <w:rFonts w:ascii="Poppins" w:hAnsi="Poppins" w:cs="Poppins"/>
          <w:b/>
          <w:color w:val="E36C0A" w:themeColor="accent6" w:themeShade="BF"/>
          <w:szCs w:val="16"/>
        </w:rPr>
        <w:t>PROCEDURE</w:t>
      </w:r>
    </w:p>
    <w:p w14:paraId="742FA642" w14:textId="55D692BD" w:rsidR="00736E8A" w:rsidRDefault="000336D7">
      <w:pPr>
        <w:rPr>
          <w:rFonts w:ascii="Poppins" w:hAnsi="Poppins" w:cs="Poppins"/>
          <w:sz w:val="16"/>
          <w:szCs w:val="16"/>
        </w:rPr>
      </w:pPr>
      <w:r w:rsidRPr="00422FBD">
        <w:rPr>
          <w:rFonts w:ascii="Poppins" w:hAnsi="Poppins" w:cs="Poppins"/>
          <w:sz w:val="16"/>
          <w:szCs w:val="16"/>
        </w:rPr>
        <w:t xml:space="preserve">While the </w:t>
      </w:r>
      <w:r w:rsidR="004324C3">
        <w:rPr>
          <w:rFonts w:ascii="Poppins" w:hAnsi="Poppins" w:cs="Poppins"/>
          <w:sz w:val="16"/>
          <w:szCs w:val="16"/>
        </w:rPr>
        <w:t>NTx Serum</w:t>
      </w:r>
      <w:r w:rsidRPr="00422FBD">
        <w:rPr>
          <w:rFonts w:ascii="Poppins" w:hAnsi="Poppins" w:cs="Poppins"/>
          <w:sz w:val="16"/>
          <w:szCs w:val="16"/>
        </w:rPr>
        <w:t xml:space="preserve"> assay is used as an indicator of bone resorption, use of this test has not been established to predict development of osteoporosis or future fracture risk. Use of this test has not been established in primary hyperparathyroidism, hyperthyroidism, or Paget’s disease of bone. When using the </w:t>
      </w:r>
      <w:r w:rsidR="004324C3">
        <w:rPr>
          <w:rFonts w:ascii="Poppins" w:hAnsi="Poppins" w:cs="Poppins"/>
          <w:sz w:val="16"/>
          <w:szCs w:val="16"/>
        </w:rPr>
        <w:t>NTx Serum</w:t>
      </w:r>
      <w:r w:rsidRPr="00422FBD">
        <w:rPr>
          <w:rFonts w:ascii="Poppins" w:hAnsi="Poppins" w:cs="Poppins"/>
          <w:sz w:val="16"/>
          <w:szCs w:val="16"/>
        </w:rPr>
        <w:t xml:space="preserve"> assay to monitor therapy, results may be confounded in patients afflicted with other clinical conditions known to affect bone resorption, e.g. metastases to bone. While the </w:t>
      </w:r>
      <w:r w:rsidR="004324C3">
        <w:rPr>
          <w:rFonts w:ascii="Poppins" w:hAnsi="Poppins" w:cs="Poppins"/>
          <w:sz w:val="16"/>
          <w:szCs w:val="16"/>
        </w:rPr>
        <w:t>NTx Serum</w:t>
      </w:r>
      <w:r w:rsidRPr="00422FBD">
        <w:rPr>
          <w:rFonts w:ascii="Poppins" w:hAnsi="Poppins" w:cs="Poppins"/>
          <w:sz w:val="16"/>
          <w:szCs w:val="16"/>
        </w:rPr>
        <w:t xml:space="preserve"> assay value provides a measure of the level of bone resorption, a single </w:t>
      </w:r>
      <w:r w:rsidR="004324C3">
        <w:rPr>
          <w:rFonts w:ascii="Poppins" w:hAnsi="Poppins" w:cs="Poppins"/>
          <w:sz w:val="16"/>
          <w:szCs w:val="16"/>
        </w:rPr>
        <w:t>NTx Serum</w:t>
      </w:r>
      <w:r w:rsidRPr="00422FBD">
        <w:rPr>
          <w:rFonts w:ascii="Poppins" w:hAnsi="Poppins" w:cs="Poppins"/>
          <w:sz w:val="16"/>
          <w:szCs w:val="16"/>
        </w:rPr>
        <w:t xml:space="preserve"> assay value cannot provide the rate of bone resorption as reported results do not contain a measure of time. The </w:t>
      </w:r>
      <w:r w:rsidR="004324C3">
        <w:rPr>
          <w:rFonts w:ascii="Poppins" w:hAnsi="Poppins" w:cs="Poppins"/>
          <w:sz w:val="16"/>
          <w:szCs w:val="16"/>
        </w:rPr>
        <w:t>NTx Serum</w:t>
      </w:r>
      <w:r w:rsidRPr="00422FBD">
        <w:rPr>
          <w:rFonts w:ascii="Poppins" w:hAnsi="Poppins" w:cs="Poppins"/>
          <w:sz w:val="16"/>
          <w:szCs w:val="16"/>
        </w:rPr>
        <w:t xml:space="preserve"> assay results should be interpreted in conjunction with clinical findings and other diagnostic results.</w:t>
      </w:r>
    </w:p>
    <w:p w14:paraId="179E8F9B" w14:textId="7F3C3342" w:rsidR="00966B19" w:rsidRPr="00C65856" w:rsidRDefault="00966B19">
      <w:pPr>
        <w:rPr>
          <w:rFonts w:ascii="Poppins" w:hAnsi="Poppins" w:cs="Poppins"/>
          <w:color w:val="BE1448"/>
          <w:sz w:val="16"/>
          <w:szCs w:val="16"/>
        </w:rPr>
      </w:pPr>
      <w:r>
        <w:rPr>
          <w:rFonts w:ascii="Poppins" w:hAnsi="Poppins" w:cs="Poppins"/>
          <w:b/>
          <w:bCs/>
          <w:color w:val="E36C0A" w:themeColor="accent6" w:themeShade="BF"/>
        </w:rPr>
        <w:lastRenderedPageBreak/>
        <w:t>REFERENCES</w:t>
      </w:r>
    </w:p>
    <w:p w14:paraId="358213B7" w14:textId="77777777" w:rsidR="00C65856" w:rsidRPr="003435CA" w:rsidRDefault="00C65856" w:rsidP="00C65856">
      <w:pPr>
        <w:pStyle w:val="ListParagraph"/>
        <w:widowControl w:val="0"/>
        <w:numPr>
          <w:ilvl w:val="0"/>
          <w:numId w:val="25"/>
        </w:numPr>
        <w:autoSpaceDE w:val="0"/>
        <w:autoSpaceDN w:val="0"/>
        <w:adjustRightInd w:val="0"/>
        <w:rPr>
          <w:rFonts w:ascii="Poppins" w:hAnsi="Poppins" w:cs="Poppins"/>
          <w:sz w:val="16"/>
          <w:szCs w:val="16"/>
        </w:rPr>
      </w:pPr>
      <w:r w:rsidRPr="003435CA">
        <w:rPr>
          <w:rFonts w:ascii="Poppins" w:hAnsi="Poppins" w:cs="Poppins"/>
          <w:color w:val="212121"/>
          <w:sz w:val="16"/>
          <w:szCs w:val="16"/>
          <w:shd w:val="clear" w:color="auto" w:fill="FFFFFF"/>
        </w:rPr>
        <w:t>Shetty S, Kapoor N, Bondu JD, Thomas N, Paul TV. Bone turnover markers: Emerging tool in the management of osteoporosis. Indian J Endocrinol Metab. 2016 Nov-Dec;20(6):846-852. doi: 10.4103/2230-8210.192914. PMID: 27867890; PMCID: PMC5105571</w:t>
      </w:r>
      <w:r>
        <w:rPr>
          <w:rFonts w:ascii="Roboto" w:hAnsi="Roboto"/>
          <w:color w:val="212121"/>
          <w:sz w:val="26"/>
          <w:szCs w:val="26"/>
          <w:shd w:val="clear" w:color="auto" w:fill="FFFFFF"/>
        </w:rPr>
        <w:t>.</w:t>
      </w:r>
    </w:p>
    <w:p w14:paraId="5A3B363C" w14:textId="77777777" w:rsidR="00C65856" w:rsidRPr="003435CA" w:rsidRDefault="00C65856" w:rsidP="00C65856">
      <w:pPr>
        <w:pStyle w:val="ListParagraph"/>
        <w:widowControl w:val="0"/>
        <w:numPr>
          <w:ilvl w:val="0"/>
          <w:numId w:val="25"/>
        </w:numPr>
        <w:autoSpaceDE w:val="0"/>
        <w:autoSpaceDN w:val="0"/>
        <w:adjustRightInd w:val="0"/>
        <w:rPr>
          <w:rFonts w:ascii="Poppins" w:hAnsi="Poppins" w:cs="Poppins"/>
          <w:sz w:val="16"/>
          <w:szCs w:val="16"/>
        </w:rPr>
      </w:pPr>
      <w:r w:rsidRPr="003435CA">
        <w:rPr>
          <w:rFonts w:ascii="Poppins" w:hAnsi="Poppins" w:cs="Poppins"/>
          <w:color w:val="212121"/>
          <w:sz w:val="16"/>
          <w:szCs w:val="16"/>
          <w:shd w:val="clear" w:color="auto" w:fill="FFFFFF"/>
        </w:rPr>
        <w:t>Greenblatt MB, Tsai JN, Wein MN. Bone Turnover Markers in the Diagnosis and Monitoring of Metabolic Bone Disease. Clin Chem. 2017 Feb;63(2):464-474. doi: 10.1373/clinchem.2016.259085. Epub 2016 Dec 9. PMID: 27940448; PMCID: PMC5549920</w:t>
      </w:r>
      <w:r>
        <w:rPr>
          <w:rFonts w:ascii="Segoe UI" w:hAnsi="Segoe UI" w:cs="Segoe UI"/>
          <w:color w:val="212121"/>
          <w:shd w:val="clear" w:color="auto" w:fill="FFFFFF"/>
        </w:rPr>
        <w:t>.</w:t>
      </w:r>
    </w:p>
    <w:p w14:paraId="2C9C8513" w14:textId="764EAAB7" w:rsidR="00C65856" w:rsidRPr="00F33EF8" w:rsidRDefault="00C65856" w:rsidP="00C65856">
      <w:pPr>
        <w:pStyle w:val="ListParagraph"/>
        <w:widowControl w:val="0"/>
        <w:numPr>
          <w:ilvl w:val="0"/>
          <w:numId w:val="25"/>
        </w:numPr>
        <w:autoSpaceDE w:val="0"/>
        <w:autoSpaceDN w:val="0"/>
        <w:adjustRightInd w:val="0"/>
        <w:rPr>
          <w:rFonts w:ascii="Poppins" w:hAnsi="Poppins" w:cs="Poppins"/>
          <w:sz w:val="16"/>
          <w:szCs w:val="16"/>
        </w:rPr>
      </w:pPr>
      <w:r w:rsidRPr="003435CA">
        <w:rPr>
          <w:rFonts w:ascii="Poppins" w:hAnsi="Poppins" w:cs="Poppins"/>
          <w:color w:val="212121"/>
          <w:sz w:val="16"/>
          <w:szCs w:val="16"/>
          <w:shd w:val="clear" w:color="auto" w:fill="FFFFFF"/>
        </w:rPr>
        <w:t>Jain S, Camacho P. Use of bone turnover markers in the management of osteoporosis. Curr Opin Endocrinol Diabetes Obes. 2018 Dec;25(6):366-372. doi: 10.1097/MED.0000000000000446. PMID: 30299435</w:t>
      </w:r>
      <w:r>
        <w:rPr>
          <w:rFonts w:ascii="Segoe UI" w:hAnsi="Segoe UI" w:cs="Segoe UI"/>
          <w:color w:val="212121"/>
          <w:shd w:val="clear" w:color="auto" w:fill="FFFFFF"/>
        </w:rPr>
        <w:t>.</w:t>
      </w:r>
      <w:r w:rsidRPr="00AB7E21">
        <w:t xml:space="preserve"> </w:t>
      </w:r>
    </w:p>
    <w:p w14:paraId="0BA9E540" w14:textId="1F9AD5CC" w:rsidR="00C65856" w:rsidRDefault="00C65856" w:rsidP="00C65856">
      <w:pPr>
        <w:pStyle w:val="ListParagraph"/>
        <w:widowControl w:val="0"/>
        <w:numPr>
          <w:ilvl w:val="0"/>
          <w:numId w:val="25"/>
        </w:numPr>
        <w:autoSpaceDE w:val="0"/>
        <w:autoSpaceDN w:val="0"/>
        <w:adjustRightInd w:val="0"/>
        <w:rPr>
          <w:rFonts w:ascii="Poppins" w:hAnsi="Poppins" w:cs="Poppins"/>
          <w:sz w:val="16"/>
          <w:szCs w:val="16"/>
        </w:rPr>
      </w:pPr>
      <w:r>
        <w:rPr>
          <w:rFonts w:ascii="Poppins" w:hAnsi="Poppins" w:cs="Poppins"/>
          <w:sz w:val="16"/>
          <w:szCs w:val="16"/>
        </w:rPr>
        <w:t xml:space="preserve">Grimsey P, Frey N, Bendig G, Zitzler J, Lorenz O, Kasapic D, Zaugg C. </w:t>
      </w:r>
      <w:r w:rsidRPr="00BC0410">
        <w:rPr>
          <w:rFonts w:ascii="Poppins" w:hAnsi="Poppins" w:cs="Poppins"/>
          <w:sz w:val="16"/>
          <w:szCs w:val="16"/>
        </w:rPr>
        <w:t xml:space="preserve">Population pharmacokinetics of exogenous biotin and the relationship between biotin serum levels and </w:t>
      </w:r>
      <w:r w:rsidRPr="00F33EF8">
        <w:rPr>
          <w:rFonts w:ascii="Poppins" w:hAnsi="Poppins" w:cs="Poppins"/>
          <w:i/>
          <w:iCs/>
          <w:sz w:val="16"/>
          <w:szCs w:val="16"/>
        </w:rPr>
        <w:t>in vitro</w:t>
      </w:r>
      <w:r w:rsidRPr="00BC0410">
        <w:rPr>
          <w:rFonts w:ascii="Poppins" w:hAnsi="Poppins" w:cs="Poppins"/>
          <w:sz w:val="16"/>
          <w:szCs w:val="16"/>
        </w:rPr>
        <w:t xml:space="preserve"> immunoassay interference</w:t>
      </w:r>
      <w:r>
        <w:rPr>
          <w:rFonts w:ascii="Poppins" w:hAnsi="Poppins" w:cs="Poppins"/>
          <w:sz w:val="16"/>
          <w:szCs w:val="16"/>
        </w:rPr>
        <w:t xml:space="preserve">. </w:t>
      </w:r>
      <w:r w:rsidRPr="001219B9">
        <w:rPr>
          <w:rFonts w:ascii="Poppins" w:hAnsi="Poppins" w:cs="Poppins"/>
          <w:sz w:val="16"/>
          <w:szCs w:val="16"/>
        </w:rPr>
        <w:t>International Journal of Pharmacokinetics</w:t>
      </w:r>
      <w:r>
        <w:rPr>
          <w:rFonts w:ascii="Poppins" w:hAnsi="Poppins" w:cs="Poppins"/>
          <w:sz w:val="16"/>
          <w:szCs w:val="16"/>
        </w:rPr>
        <w:t>. 2017 Sept;2(4):</w:t>
      </w:r>
      <w:r w:rsidRPr="00834367">
        <w:rPr>
          <w:rFonts w:ascii="Poppins" w:hAnsi="Poppins" w:cs="Poppins"/>
          <w:sz w:val="16"/>
          <w:szCs w:val="16"/>
        </w:rPr>
        <w:t>247-256</w:t>
      </w:r>
      <w:r>
        <w:rPr>
          <w:rFonts w:ascii="Poppins" w:hAnsi="Poppins" w:cs="Poppins"/>
          <w:sz w:val="16"/>
          <w:szCs w:val="16"/>
        </w:rPr>
        <w:t xml:space="preserve">. doi: </w:t>
      </w:r>
      <w:r w:rsidRPr="00F33EF8">
        <w:rPr>
          <w:rFonts w:ascii="Poppins" w:hAnsi="Poppins" w:cs="Poppins"/>
          <w:sz w:val="16"/>
          <w:szCs w:val="16"/>
        </w:rPr>
        <w:t>https://doi.org/10.4155/ipk-2017-0013</w:t>
      </w:r>
      <w:r>
        <w:rPr>
          <w:rFonts w:ascii="Poppins" w:hAnsi="Poppins" w:cs="Poppins"/>
          <w:sz w:val="16"/>
          <w:szCs w:val="16"/>
        </w:rPr>
        <w:t xml:space="preserve">. </w:t>
      </w:r>
    </w:p>
    <w:p w14:paraId="475193AB" w14:textId="4BAD7CC3" w:rsidR="00C65856" w:rsidRPr="00A4714C" w:rsidRDefault="00C65856" w:rsidP="00A4714C">
      <w:pPr>
        <w:rPr>
          <w:rFonts w:ascii="Poppins" w:hAnsi="Poppins" w:cs="Poppins"/>
          <w:sz w:val="16"/>
          <w:szCs w:val="16"/>
        </w:rPr>
      </w:pPr>
      <w:r>
        <w:rPr>
          <w:rFonts w:ascii="Poppins" w:hAnsi="Poppins" w:cs="Poppins"/>
          <w:sz w:val="16"/>
          <w:szCs w:val="16"/>
        </w:rPr>
        <w:br w:type="page"/>
      </w:r>
    </w:p>
    <w:p w14:paraId="03036CDA" w14:textId="464CD5B2" w:rsidR="00006C38" w:rsidRPr="00006C38" w:rsidRDefault="00006C38" w:rsidP="00006C38">
      <w:pPr>
        <w:rPr>
          <w:rFonts w:ascii="Poppins" w:hAnsi="Poppins" w:cs="Poppins"/>
          <w:b/>
          <w:bCs/>
          <w:color w:val="E36C0A" w:themeColor="accent6" w:themeShade="BF"/>
        </w:rPr>
      </w:pPr>
      <w:r w:rsidRPr="00006C38">
        <w:rPr>
          <w:rFonts w:ascii="Poppins" w:hAnsi="Poppins" w:cs="Poppins"/>
          <w:b/>
          <w:bCs/>
          <w:color w:val="E36C0A" w:themeColor="accent6" w:themeShade="BF"/>
        </w:rPr>
        <w:lastRenderedPageBreak/>
        <w:t>GLOSSARY OF SYMBOLS</w:t>
      </w:r>
    </w:p>
    <w:p w14:paraId="320E4105" w14:textId="378A14D5" w:rsidR="00006C38" w:rsidRPr="00006C38" w:rsidRDefault="00006C38" w:rsidP="00006C38">
      <w:pPr>
        <w:jc w:val="both"/>
        <w:rPr>
          <w:rFonts w:ascii="Poppins" w:hAnsi="Poppins" w:cs="Poppins"/>
          <w:sz w:val="16"/>
          <w:szCs w:val="16"/>
          <w:lang w:val="en-GB"/>
        </w:rPr>
      </w:pPr>
      <w:r w:rsidRPr="00006C38">
        <w:rPr>
          <w:rFonts w:ascii="Poppins" w:hAnsi="Poppins" w:cs="Poppins"/>
          <w:sz w:val="16"/>
          <w:szCs w:val="16"/>
          <w:lang w:val="en-GB"/>
        </w:rPr>
        <w:t xml:space="preserve">The following symbols </w:t>
      </w:r>
      <w:r w:rsidRPr="00006C38">
        <w:rPr>
          <w:rFonts w:ascii="Poppins" w:hAnsi="Poppins" w:cs="Poppins"/>
          <w:b/>
          <w:sz w:val="16"/>
          <w:szCs w:val="16"/>
          <w:lang w:val="en-GB"/>
        </w:rPr>
        <w:t>may</w:t>
      </w:r>
      <w:r w:rsidRPr="00006C38">
        <w:rPr>
          <w:rFonts w:ascii="Poppins" w:hAnsi="Poppins" w:cs="Poppins"/>
          <w:sz w:val="16"/>
          <w:szCs w:val="16"/>
          <w:lang w:val="en-GB"/>
        </w:rPr>
        <w:t xml:space="preserve"> have been used in the labelling of this product</w:t>
      </w:r>
      <w:r w:rsidR="00494A5D">
        <w:rPr>
          <w:rFonts w:ascii="Poppins" w:hAnsi="Poppins" w:cs="Poppins"/>
          <w:sz w:val="16"/>
          <w:szCs w:val="16"/>
          <w:lang w:val="en-GB"/>
        </w:rPr>
        <w:t xml:space="preserve"> or products associated with this product.</w:t>
      </w:r>
    </w:p>
    <w:tbl>
      <w:tblPr>
        <w:tblStyle w:val="TableGrid"/>
        <w:tblpPr w:leftFromText="180" w:rightFromText="180" w:vertAnchor="text" w:horzAnchor="margin" w:tblpY="84"/>
        <w:tblW w:w="10705" w:type="dxa"/>
        <w:tblLayout w:type="fixed"/>
        <w:tblLook w:val="04A0" w:firstRow="1" w:lastRow="0" w:firstColumn="1" w:lastColumn="0" w:noHBand="0" w:noVBand="1"/>
      </w:tblPr>
      <w:tblGrid>
        <w:gridCol w:w="2335"/>
        <w:gridCol w:w="2943"/>
        <w:gridCol w:w="2639"/>
        <w:gridCol w:w="2788"/>
      </w:tblGrid>
      <w:tr w:rsidR="00E26A4A" w:rsidRPr="009B7112" w14:paraId="763B9C27" w14:textId="77777777" w:rsidTr="00742F52">
        <w:trPr>
          <w:trHeight w:val="243"/>
        </w:trPr>
        <w:tc>
          <w:tcPr>
            <w:tcW w:w="2335" w:type="dxa"/>
            <w:vAlign w:val="center"/>
          </w:tcPr>
          <w:p w14:paraId="0D036919" w14:textId="77777777" w:rsidR="00E26A4A" w:rsidRPr="00092230" w:rsidRDefault="00E26A4A" w:rsidP="00B25722">
            <w:pPr>
              <w:rPr>
                <w:rFonts w:ascii="Poppins" w:hAnsi="Poppins" w:cs="Poppins"/>
                <w:b/>
                <w:bCs/>
                <w:sz w:val="18"/>
                <w:szCs w:val="18"/>
                <w:lang w:val="en-GB"/>
              </w:rPr>
            </w:pPr>
            <w:r w:rsidRPr="00092230">
              <w:rPr>
                <w:rFonts w:ascii="Poppins" w:hAnsi="Poppins" w:cs="Poppins"/>
                <w:b/>
                <w:bCs/>
                <w:sz w:val="18"/>
                <w:szCs w:val="18"/>
                <w:lang w:val="en-GB"/>
              </w:rPr>
              <w:t>Symbol</w:t>
            </w:r>
          </w:p>
        </w:tc>
        <w:tc>
          <w:tcPr>
            <w:tcW w:w="2943" w:type="dxa"/>
            <w:vAlign w:val="center"/>
          </w:tcPr>
          <w:p w14:paraId="56E3A891" w14:textId="77777777" w:rsidR="00E26A4A" w:rsidRPr="00092230" w:rsidRDefault="00E26A4A" w:rsidP="00B25722">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639" w:type="dxa"/>
            <w:vAlign w:val="center"/>
          </w:tcPr>
          <w:p w14:paraId="76C69D43" w14:textId="77777777" w:rsidR="00E26A4A" w:rsidRPr="00092230" w:rsidRDefault="00E26A4A" w:rsidP="00B25722">
            <w:pPr>
              <w:rPr>
                <w:rFonts w:ascii="Poppins" w:hAnsi="Poppins" w:cs="Poppins"/>
                <w:b/>
                <w:bCs/>
                <w:sz w:val="18"/>
                <w:szCs w:val="18"/>
                <w:lang w:val="en-GB"/>
              </w:rPr>
            </w:pPr>
            <w:r w:rsidRPr="00092230">
              <w:rPr>
                <w:rFonts w:ascii="Poppins" w:hAnsi="Poppins" w:cs="Poppins"/>
                <w:b/>
                <w:bCs/>
                <w:sz w:val="18"/>
                <w:szCs w:val="18"/>
                <w:lang w:val="en-GB"/>
              </w:rPr>
              <w:t>Symbol</w:t>
            </w:r>
          </w:p>
        </w:tc>
        <w:tc>
          <w:tcPr>
            <w:tcW w:w="2788" w:type="dxa"/>
            <w:vAlign w:val="center"/>
          </w:tcPr>
          <w:p w14:paraId="3C8C0455" w14:textId="77777777" w:rsidR="00E26A4A" w:rsidRPr="00092230" w:rsidRDefault="00E26A4A" w:rsidP="00B25722">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E26A4A" w:rsidRPr="009B7112" w14:paraId="110D4C03" w14:textId="77777777" w:rsidTr="00742F52">
        <w:trPr>
          <w:trHeight w:val="527"/>
        </w:trPr>
        <w:tc>
          <w:tcPr>
            <w:tcW w:w="2335" w:type="dxa"/>
            <w:vAlign w:val="center"/>
          </w:tcPr>
          <w:p w14:paraId="67E26845" w14:textId="77777777" w:rsidR="00E26A4A" w:rsidRPr="00092230" w:rsidRDefault="00E26A4A" w:rsidP="00B25722">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21279E" wp14:editId="25F99AC9">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73C712AE"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rPr>
              <w:t>Manufacturer</w:t>
            </w:r>
          </w:p>
        </w:tc>
        <w:tc>
          <w:tcPr>
            <w:tcW w:w="2639" w:type="dxa"/>
            <w:vAlign w:val="center"/>
          </w:tcPr>
          <w:p w14:paraId="37248177" w14:textId="77777777" w:rsidR="00E26A4A" w:rsidRPr="00092230" w:rsidRDefault="00E26A4A" w:rsidP="00B25722">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3B3E84F" wp14:editId="57E40FFD">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88" w:type="dxa"/>
            <w:vAlign w:val="center"/>
          </w:tcPr>
          <w:p w14:paraId="0E878D92"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rPr>
              <w:t>Keep away from sunlight</w:t>
            </w:r>
          </w:p>
        </w:tc>
      </w:tr>
      <w:tr w:rsidR="00E26A4A" w:rsidRPr="009B7112" w14:paraId="244A9FFA" w14:textId="77777777" w:rsidTr="00742F52">
        <w:trPr>
          <w:trHeight w:val="527"/>
        </w:trPr>
        <w:tc>
          <w:tcPr>
            <w:tcW w:w="2335" w:type="dxa"/>
            <w:vAlign w:val="center"/>
          </w:tcPr>
          <w:p w14:paraId="4629C63D" w14:textId="77777777" w:rsidR="00E26A4A" w:rsidRPr="00092230" w:rsidRDefault="00E26A4A" w:rsidP="00B25722">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1D8F5C4" wp14:editId="7B590FDB">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4BA6E003" w14:textId="77777777" w:rsidR="00E26A4A" w:rsidRPr="00EE6A29" w:rsidRDefault="00E26A4A" w:rsidP="00B25722">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639" w:type="dxa"/>
            <w:vAlign w:val="center"/>
          </w:tcPr>
          <w:p w14:paraId="5BECA25D" w14:textId="77777777" w:rsidR="00E26A4A" w:rsidRPr="00092230" w:rsidRDefault="00E26A4A" w:rsidP="00B25722">
            <w:pPr>
              <w:rPr>
                <w:rFonts w:ascii="Poppins" w:hAnsi="Poppins" w:cs="Poppins"/>
                <w:sz w:val="18"/>
                <w:szCs w:val="18"/>
                <w:lang w:val="en-GB"/>
              </w:rPr>
            </w:pPr>
            <w:r>
              <w:rPr>
                <w:rFonts w:ascii="Poppins" w:hAnsi="Poppins" w:cs="Poppins"/>
                <w:noProof/>
                <w:sz w:val="16"/>
                <w:szCs w:val="16"/>
              </w:rPr>
              <w:drawing>
                <wp:inline distT="0" distB="0" distL="0" distR="0" wp14:anchorId="22C2327C" wp14:editId="0F177513">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2788" w:type="dxa"/>
            <w:vAlign w:val="center"/>
          </w:tcPr>
          <w:p w14:paraId="201DAA5F"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lang w:val="en-GB"/>
              </w:rPr>
              <w:t>Plate</w:t>
            </w:r>
          </w:p>
        </w:tc>
      </w:tr>
      <w:tr w:rsidR="00E26A4A" w:rsidRPr="003902C9" w14:paraId="7A2C71F5" w14:textId="77777777" w:rsidTr="00742F52">
        <w:trPr>
          <w:trHeight w:val="579"/>
        </w:trPr>
        <w:tc>
          <w:tcPr>
            <w:tcW w:w="2335" w:type="dxa"/>
            <w:vAlign w:val="center"/>
          </w:tcPr>
          <w:p w14:paraId="5DE7FB88" w14:textId="77777777" w:rsidR="00E26A4A" w:rsidRPr="00092230" w:rsidRDefault="00E26A4A" w:rsidP="00B25722">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FAFCF1D" wp14:editId="66A952A4">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27A975B6"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rPr>
              <w:t>Catalogue number</w:t>
            </w:r>
          </w:p>
        </w:tc>
        <w:tc>
          <w:tcPr>
            <w:tcW w:w="2639" w:type="dxa"/>
            <w:vAlign w:val="center"/>
          </w:tcPr>
          <w:p w14:paraId="2B1590C6" w14:textId="77777777" w:rsidR="00E26A4A" w:rsidRPr="00092230" w:rsidRDefault="00E26A4A" w:rsidP="00B25722">
            <w:pPr>
              <w:rPr>
                <w:rFonts w:ascii="Poppins" w:hAnsi="Poppins" w:cs="Poppins"/>
                <w:sz w:val="18"/>
                <w:szCs w:val="18"/>
                <w:lang w:val="en-GB"/>
              </w:rPr>
            </w:pPr>
            <w:r>
              <w:rPr>
                <w:rFonts w:ascii="Poppins" w:hAnsi="Poppins" w:cs="Poppins"/>
                <w:noProof/>
                <w:sz w:val="16"/>
                <w:szCs w:val="16"/>
              </w:rPr>
              <w:drawing>
                <wp:inline distT="0" distB="0" distL="0" distR="0" wp14:anchorId="08D445E2" wp14:editId="52899C95">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2788" w:type="dxa"/>
            <w:vAlign w:val="center"/>
          </w:tcPr>
          <w:p w14:paraId="755FC49B"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lang w:val="en-GB"/>
              </w:rPr>
              <w:t>Conjugate</w:t>
            </w:r>
          </w:p>
        </w:tc>
      </w:tr>
      <w:tr w:rsidR="00E26A4A" w:rsidRPr="000B4B4C" w14:paraId="4ECCEF03" w14:textId="77777777" w:rsidTr="00742F52">
        <w:trPr>
          <w:trHeight w:val="660"/>
        </w:trPr>
        <w:tc>
          <w:tcPr>
            <w:tcW w:w="2335" w:type="dxa"/>
            <w:vAlign w:val="center"/>
          </w:tcPr>
          <w:p w14:paraId="161CB9DE" w14:textId="77777777" w:rsidR="00E26A4A" w:rsidRPr="00092230" w:rsidRDefault="00E26A4A" w:rsidP="00B25722">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03F845" wp14:editId="4D58480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2943" w:type="dxa"/>
            <w:vAlign w:val="center"/>
          </w:tcPr>
          <w:p w14:paraId="671348D8" w14:textId="77777777" w:rsidR="00E26A4A" w:rsidRPr="00EE6A29" w:rsidRDefault="00E26A4A" w:rsidP="00B25722">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639" w:type="dxa"/>
            <w:vAlign w:val="center"/>
          </w:tcPr>
          <w:p w14:paraId="5B32DE88" w14:textId="77777777" w:rsidR="00E26A4A" w:rsidRDefault="00E26A4A" w:rsidP="00B25722">
            <w:pPr>
              <w:kinsoku w:val="0"/>
              <w:overflowPunct w:val="0"/>
              <w:autoSpaceDE w:val="0"/>
              <w:autoSpaceDN w:val="0"/>
              <w:adjustRightInd w:val="0"/>
              <w:spacing w:line="172" w:lineRule="exact"/>
              <w:rPr>
                <w:rFonts w:ascii="Poppins" w:hAnsi="Poppins" w:cs="Poppins"/>
                <w:noProof/>
                <w:sz w:val="18"/>
                <w:szCs w:val="18"/>
                <w:lang w:val="en-GB"/>
              </w:rPr>
            </w:pPr>
          </w:p>
          <w:p w14:paraId="69DE8672" w14:textId="498FE6B7" w:rsidR="00E26A4A" w:rsidRPr="00092230" w:rsidRDefault="00E26A4A" w:rsidP="00B25722">
            <w:pPr>
              <w:rPr>
                <w:rFonts w:ascii="Poppins" w:hAnsi="Poppins" w:cs="Poppins"/>
                <w:sz w:val="18"/>
                <w:szCs w:val="18"/>
                <w:lang w:val="en-GB"/>
              </w:rPr>
            </w:pPr>
            <w:r>
              <w:rPr>
                <w:rFonts w:ascii="Poppins" w:hAnsi="Poppins" w:cs="Poppins"/>
                <w:noProof/>
                <w:sz w:val="18"/>
                <w:szCs w:val="18"/>
                <w:lang w:val="en-GB"/>
              </w:rPr>
              <w:drawing>
                <wp:inline distT="0" distB="0" distL="0" distR="0" wp14:anchorId="3092D61E" wp14:editId="0C2D1C5C">
                  <wp:extent cx="1061085" cy="280670"/>
                  <wp:effectExtent l="0" t="0" r="5715" b="5080"/>
                  <wp:docPr id="117474969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2788" w:type="dxa"/>
            <w:vAlign w:val="center"/>
          </w:tcPr>
          <w:p w14:paraId="18D8A68C" w14:textId="642CA418" w:rsidR="00E26A4A" w:rsidRPr="00EE6A29" w:rsidRDefault="00E26A4A" w:rsidP="00B25722">
            <w:pPr>
              <w:rPr>
                <w:rFonts w:ascii="Poppins" w:hAnsi="Poppins" w:cs="Poppins"/>
                <w:sz w:val="16"/>
                <w:szCs w:val="16"/>
                <w:lang w:val="en-GB"/>
              </w:rPr>
            </w:pPr>
            <w:r w:rsidRPr="00EE6A29">
              <w:rPr>
                <w:rFonts w:ascii="Poppins" w:hAnsi="Poppins" w:cs="Poppins"/>
                <w:sz w:val="16"/>
                <w:szCs w:val="16"/>
                <w:lang w:val="en-GB"/>
              </w:rPr>
              <w:t>Stop</w:t>
            </w:r>
            <w:r w:rsidR="008E0E45">
              <w:rPr>
                <w:rFonts w:ascii="Poppins" w:hAnsi="Poppins" w:cs="Poppins"/>
                <w:sz w:val="16"/>
                <w:szCs w:val="16"/>
                <w:lang w:val="en-GB"/>
              </w:rPr>
              <w:t>ping Reagent</w:t>
            </w:r>
          </w:p>
        </w:tc>
      </w:tr>
      <w:tr w:rsidR="00E26A4A" w:rsidRPr="009B7112" w14:paraId="7D379A41" w14:textId="77777777" w:rsidTr="00742F52">
        <w:trPr>
          <w:trHeight w:val="527"/>
        </w:trPr>
        <w:tc>
          <w:tcPr>
            <w:tcW w:w="2335" w:type="dxa"/>
            <w:vAlign w:val="center"/>
          </w:tcPr>
          <w:p w14:paraId="26FA2986" w14:textId="77777777" w:rsidR="00E26A4A" w:rsidRPr="00092230" w:rsidRDefault="00E26A4A" w:rsidP="00E26A4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86B0E8" wp14:editId="703DA50C">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6617AE94" w14:textId="77777777" w:rsidR="00E26A4A" w:rsidRPr="00EE6A29" w:rsidRDefault="00E26A4A" w:rsidP="00E26A4A">
            <w:pPr>
              <w:rPr>
                <w:rFonts w:ascii="Poppins" w:hAnsi="Poppins" w:cs="Poppins"/>
                <w:sz w:val="16"/>
                <w:szCs w:val="16"/>
                <w:lang w:val="en-GB"/>
              </w:rPr>
            </w:pPr>
            <w:r w:rsidRPr="00EE6A29">
              <w:rPr>
                <w:rFonts w:ascii="Poppins" w:hAnsi="Poppins" w:cs="Poppins"/>
                <w:sz w:val="16"/>
                <w:szCs w:val="16"/>
              </w:rPr>
              <w:t>Batch code</w:t>
            </w:r>
          </w:p>
        </w:tc>
        <w:tc>
          <w:tcPr>
            <w:tcW w:w="2639" w:type="dxa"/>
            <w:tcBorders>
              <w:bottom w:val="single" w:sz="2" w:space="0" w:color="auto"/>
            </w:tcBorders>
            <w:vAlign w:val="center"/>
          </w:tcPr>
          <w:p w14:paraId="60C50555" w14:textId="77777777" w:rsidR="00E26A4A" w:rsidRDefault="00E26A4A" w:rsidP="00E26A4A">
            <w:pPr>
              <w:kinsoku w:val="0"/>
              <w:overflowPunct w:val="0"/>
              <w:autoSpaceDE w:val="0"/>
              <w:autoSpaceDN w:val="0"/>
              <w:adjustRightInd w:val="0"/>
              <w:spacing w:line="193" w:lineRule="exact"/>
              <w:rPr>
                <w:noProof/>
              </w:rPr>
            </w:pPr>
          </w:p>
          <w:p w14:paraId="016A74D6" w14:textId="77777777" w:rsidR="00E26A4A" w:rsidRDefault="00E26A4A" w:rsidP="00E26A4A">
            <w:pPr>
              <w:kinsoku w:val="0"/>
              <w:overflowPunct w:val="0"/>
              <w:autoSpaceDE w:val="0"/>
              <w:autoSpaceDN w:val="0"/>
              <w:adjustRightInd w:val="0"/>
              <w:spacing w:line="193" w:lineRule="exact"/>
              <w:rPr>
                <w:noProof/>
              </w:rPr>
            </w:pPr>
          </w:p>
          <w:p w14:paraId="359146BF" w14:textId="6C10D8E2" w:rsidR="00E26A4A" w:rsidRPr="00092230" w:rsidRDefault="00E26A4A" w:rsidP="00E26A4A">
            <w:pPr>
              <w:kinsoku w:val="0"/>
              <w:overflowPunct w:val="0"/>
              <w:autoSpaceDE w:val="0"/>
              <w:autoSpaceDN w:val="0"/>
              <w:adjustRightInd w:val="0"/>
              <w:spacing w:line="172" w:lineRule="exact"/>
              <w:rPr>
                <w:rFonts w:ascii="Poppins" w:hAnsi="Poppins" w:cs="Poppins"/>
                <w:sz w:val="18"/>
                <w:szCs w:val="18"/>
                <w:lang w:val="en-GB"/>
              </w:rPr>
            </w:pPr>
            <w:r>
              <w:rPr>
                <w:noProof/>
              </w:rPr>
              <w:drawing>
                <wp:inline distT="0" distB="0" distL="0" distR="0" wp14:anchorId="5D5D3735" wp14:editId="5C1BE137">
                  <wp:extent cx="1371600" cy="280670"/>
                  <wp:effectExtent l="0" t="0" r="0" b="5080"/>
                  <wp:docPr id="11263852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280670"/>
                          </a:xfrm>
                          <a:prstGeom prst="rect">
                            <a:avLst/>
                          </a:prstGeom>
                          <a:noFill/>
                        </pic:spPr>
                      </pic:pic>
                    </a:graphicData>
                  </a:graphic>
                </wp:inline>
              </w:drawing>
            </w:r>
          </w:p>
        </w:tc>
        <w:tc>
          <w:tcPr>
            <w:tcW w:w="2788" w:type="dxa"/>
            <w:tcBorders>
              <w:bottom w:val="single" w:sz="2" w:space="0" w:color="auto"/>
            </w:tcBorders>
            <w:vAlign w:val="center"/>
          </w:tcPr>
          <w:p w14:paraId="2153E534" w14:textId="5C5C8A23" w:rsidR="00E26A4A" w:rsidRPr="00EE6A29" w:rsidRDefault="00E26A4A" w:rsidP="00E26A4A">
            <w:pPr>
              <w:rPr>
                <w:rFonts w:ascii="Poppins" w:hAnsi="Poppins" w:cs="Poppins"/>
                <w:sz w:val="16"/>
                <w:szCs w:val="16"/>
                <w:lang w:val="en-GB"/>
              </w:rPr>
            </w:pPr>
            <w:r>
              <w:rPr>
                <w:rFonts w:ascii="Poppins" w:hAnsi="Poppins" w:cs="Poppins"/>
                <w:sz w:val="16"/>
                <w:szCs w:val="16"/>
              </w:rPr>
              <w:t>Wash Buffer Concentrate (30X)</w:t>
            </w:r>
          </w:p>
        </w:tc>
      </w:tr>
      <w:tr w:rsidR="00E26A4A" w:rsidRPr="009B7112" w14:paraId="0E09CF86" w14:textId="77777777" w:rsidTr="00742F52">
        <w:trPr>
          <w:trHeight w:val="527"/>
        </w:trPr>
        <w:tc>
          <w:tcPr>
            <w:tcW w:w="2335" w:type="dxa"/>
            <w:vAlign w:val="center"/>
          </w:tcPr>
          <w:p w14:paraId="5925B429" w14:textId="77777777" w:rsidR="00E26A4A" w:rsidRPr="00092230" w:rsidRDefault="00E26A4A" w:rsidP="00E26A4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D054512" wp14:editId="4E37C889">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167D6F2D" w14:textId="77777777" w:rsidR="00E26A4A" w:rsidRPr="00EE6A29" w:rsidRDefault="00E26A4A" w:rsidP="00E26A4A">
            <w:pPr>
              <w:rPr>
                <w:rFonts w:ascii="Poppins" w:hAnsi="Poppins" w:cs="Poppins"/>
                <w:sz w:val="16"/>
                <w:szCs w:val="16"/>
                <w:lang w:val="en-GB"/>
              </w:rPr>
            </w:pPr>
            <w:r w:rsidRPr="00EE6A29">
              <w:rPr>
                <w:rFonts w:ascii="Poppins" w:hAnsi="Poppins" w:cs="Poppins"/>
                <w:sz w:val="16"/>
                <w:szCs w:val="16"/>
              </w:rPr>
              <w:t>Use by</w:t>
            </w:r>
          </w:p>
        </w:tc>
        <w:tc>
          <w:tcPr>
            <w:tcW w:w="2639" w:type="dxa"/>
            <w:vAlign w:val="center"/>
          </w:tcPr>
          <w:p w14:paraId="2335BF94" w14:textId="77777777" w:rsidR="00E26A4A" w:rsidRDefault="00E26A4A" w:rsidP="00E26A4A">
            <w:pPr>
              <w:kinsoku w:val="0"/>
              <w:overflowPunct w:val="0"/>
              <w:autoSpaceDE w:val="0"/>
              <w:autoSpaceDN w:val="0"/>
              <w:adjustRightInd w:val="0"/>
              <w:spacing w:line="193" w:lineRule="exact"/>
              <w:rPr>
                <w:noProof/>
              </w:rPr>
            </w:pPr>
          </w:p>
          <w:p w14:paraId="78F34978" w14:textId="77777777" w:rsidR="00E26A4A" w:rsidRDefault="00E26A4A" w:rsidP="00E26A4A">
            <w:pPr>
              <w:kinsoku w:val="0"/>
              <w:overflowPunct w:val="0"/>
              <w:autoSpaceDE w:val="0"/>
              <w:autoSpaceDN w:val="0"/>
              <w:adjustRightInd w:val="0"/>
              <w:spacing w:line="193" w:lineRule="exact"/>
              <w:rPr>
                <w:noProof/>
              </w:rPr>
            </w:pPr>
          </w:p>
          <w:p w14:paraId="651EC280" w14:textId="285669DF" w:rsidR="00E26A4A" w:rsidRPr="00092230" w:rsidRDefault="00E26A4A" w:rsidP="00E26A4A">
            <w:pPr>
              <w:kinsoku w:val="0"/>
              <w:overflowPunct w:val="0"/>
              <w:autoSpaceDE w:val="0"/>
              <w:autoSpaceDN w:val="0"/>
              <w:adjustRightInd w:val="0"/>
              <w:spacing w:line="193" w:lineRule="exact"/>
              <w:rPr>
                <w:rFonts w:ascii="Poppins" w:hAnsi="Poppins" w:cs="Poppins"/>
                <w:sz w:val="18"/>
                <w:szCs w:val="18"/>
                <w:lang w:val="en-GB"/>
              </w:rPr>
            </w:pPr>
            <w:r>
              <w:rPr>
                <w:noProof/>
              </w:rPr>
              <w:drawing>
                <wp:inline distT="0" distB="0" distL="0" distR="0" wp14:anchorId="2576955B" wp14:editId="514C9881">
                  <wp:extent cx="1188720" cy="286385"/>
                  <wp:effectExtent l="0" t="0" r="0" b="0"/>
                  <wp:docPr id="1706045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2788" w:type="dxa"/>
            <w:vAlign w:val="center"/>
          </w:tcPr>
          <w:p w14:paraId="68188855" w14:textId="045B8C56" w:rsidR="00E26A4A" w:rsidRPr="00EE6A29" w:rsidRDefault="00E26A4A" w:rsidP="00E26A4A">
            <w:pPr>
              <w:rPr>
                <w:rFonts w:ascii="Poppins" w:hAnsi="Poppins" w:cs="Poppins"/>
                <w:sz w:val="16"/>
                <w:szCs w:val="16"/>
                <w:lang w:val="en-GB"/>
              </w:rPr>
            </w:pPr>
            <w:r>
              <w:rPr>
                <w:rFonts w:ascii="Poppins" w:hAnsi="Poppins" w:cs="Poppins"/>
                <w:sz w:val="16"/>
                <w:szCs w:val="16"/>
              </w:rPr>
              <w:t>Level I Control</w:t>
            </w:r>
          </w:p>
        </w:tc>
      </w:tr>
      <w:tr w:rsidR="00E26A4A" w:rsidRPr="003902C9" w14:paraId="271D2603" w14:textId="77777777" w:rsidTr="00742F52">
        <w:trPr>
          <w:trHeight w:val="527"/>
        </w:trPr>
        <w:tc>
          <w:tcPr>
            <w:tcW w:w="2335" w:type="dxa"/>
            <w:vAlign w:val="center"/>
          </w:tcPr>
          <w:p w14:paraId="296B063F" w14:textId="77777777" w:rsidR="00E26A4A" w:rsidRPr="00092230" w:rsidRDefault="00E26A4A" w:rsidP="00E26A4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4114549" wp14:editId="459BD298">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09DB6C11" w14:textId="77777777" w:rsidR="00E26A4A" w:rsidRPr="00EE6A29" w:rsidRDefault="00E26A4A" w:rsidP="00E26A4A">
            <w:pPr>
              <w:rPr>
                <w:rFonts w:ascii="Poppins" w:hAnsi="Poppins" w:cs="Poppins"/>
                <w:sz w:val="16"/>
                <w:szCs w:val="16"/>
                <w:lang w:val="en-GB"/>
              </w:rPr>
            </w:pPr>
            <w:r w:rsidRPr="00EE6A29">
              <w:rPr>
                <w:rFonts w:ascii="Poppins" w:hAnsi="Poppins" w:cs="Poppins"/>
                <w:sz w:val="16"/>
                <w:szCs w:val="16"/>
              </w:rPr>
              <w:t>Temperature limitation</w:t>
            </w:r>
          </w:p>
        </w:tc>
        <w:tc>
          <w:tcPr>
            <w:tcW w:w="2639" w:type="dxa"/>
            <w:vAlign w:val="center"/>
          </w:tcPr>
          <w:p w14:paraId="41CD7F19" w14:textId="35EC45E6" w:rsidR="00E26A4A" w:rsidRPr="00092230" w:rsidRDefault="00E26A4A" w:rsidP="00E26A4A">
            <w:pPr>
              <w:kinsoku w:val="0"/>
              <w:overflowPunct w:val="0"/>
              <w:autoSpaceDE w:val="0"/>
              <w:autoSpaceDN w:val="0"/>
              <w:adjustRightInd w:val="0"/>
              <w:rPr>
                <w:sz w:val="18"/>
                <w:szCs w:val="18"/>
              </w:rPr>
            </w:pPr>
            <w:r>
              <w:rPr>
                <w:noProof/>
              </w:rPr>
              <w:drawing>
                <wp:inline distT="0" distB="0" distL="0" distR="0" wp14:anchorId="444255F5" wp14:editId="3FE863D5">
                  <wp:extent cx="1188720" cy="286385"/>
                  <wp:effectExtent l="0" t="0" r="0" b="0"/>
                  <wp:docPr id="10338981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2788" w:type="dxa"/>
            <w:vAlign w:val="center"/>
          </w:tcPr>
          <w:p w14:paraId="0391C165" w14:textId="3A1B0DEA" w:rsidR="00E26A4A" w:rsidRPr="00EE6A29" w:rsidRDefault="00E26A4A" w:rsidP="00E26A4A">
            <w:pPr>
              <w:rPr>
                <w:rFonts w:ascii="Poppins" w:hAnsi="Poppins" w:cs="Poppins"/>
                <w:sz w:val="16"/>
                <w:szCs w:val="16"/>
                <w:lang w:val="en-GB"/>
              </w:rPr>
            </w:pPr>
            <w:r>
              <w:rPr>
                <w:rFonts w:ascii="Poppins" w:hAnsi="Poppins" w:cs="Poppins"/>
                <w:sz w:val="16"/>
                <w:szCs w:val="16"/>
              </w:rPr>
              <w:t>Level II Control</w:t>
            </w:r>
          </w:p>
        </w:tc>
      </w:tr>
      <w:tr w:rsidR="00E26A4A" w:rsidRPr="003902C9" w14:paraId="1CEFD471" w14:textId="77777777" w:rsidTr="00742F52">
        <w:trPr>
          <w:trHeight w:val="527"/>
        </w:trPr>
        <w:tc>
          <w:tcPr>
            <w:tcW w:w="2335" w:type="dxa"/>
            <w:vAlign w:val="center"/>
          </w:tcPr>
          <w:p w14:paraId="24481862" w14:textId="77777777" w:rsidR="00E26A4A" w:rsidRPr="00092230" w:rsidRDefault="00E26A4A" w:rsidP="00E26A4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1890520" wp14:editId="20966229">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40"/>
                          <a:stretch>
                            <a:fillRect/>
                          </a:stretch>
                        </pic:blipFill>
                        <pic:spPr>
                          <a:xfrm>
                            <a:off x="0" y="0"/>
                            <a:ext cx="622316" cy="311159"/>
                          </a:xfrm>
                          <a:prstGeom prst="rect">
                            <a:avLst/>
                          </a:prstGeom>
                        </pic:spPr>
                      </pic:pic>
                    </a:graphicData>
                  </a:graphic>
                </wp:inline>
              </w:drawing>
            </w:r>
          </w:p>
        </w:tc>
        <w:tc>
          <w:tcPr>
            <w:tcW w:w="2943" w:type="dxa"/>
            <w:vAlign w:val="center"/>
          </w:tcPr>
          <w:p w14:paraId="7CDC3287" w14:textId="77777777" w:rsidR="00E26A4A" w:rsidRPr="00EE6A29" w:rsidRDefault="00E26A4A" w:rsidP="00E26A4A">
            <w:pPr>
              <w:rPr>
                <w:rFonts w:ascii="Poppins" w:hAnsi="Poppins" w:cs="Poppins"/>
                <w:sz w:val="16"/>
                <w:szCs w:val="16"/>
              </w:rPr>
            </w:pPr>
            <w:r w:rsidRPr="00EE6A29">
              <w:rPr>
                <w:rFonts w:ascii="Poppins" w:hAnsi="Poppins" w:cs="Poppins"/>
                <w:sz w:val="16"/>
                <w:szCs w:val="16"/>
                <w:lang w:val="en-GB"/>
              </w:rPr>
              <w:t>Contents</w:t>
            </w:r>
          </w:p>
        </w:tc>
        <w:tc>
          <w:tcPr>
            <w:tcW w:w="2639" w:type="dxa"/>
            <w:vAlign w:val="center"/>
          </w:tcPr>
          <w:p w14:paraId="268B5776" w14:textId="6269D60A" w:rsidR="00E26A4A" w:rsidRPr="00092230" w:rsidRDefault="00E26A4A" w:rsidP="00E26A4A">
            <w:pPr>
              <w:kinsoku w:val="0"/>
              <w:overflowPunct w:val="0"/>
              <w:autoSpaceDE w:val="0"/>
              <w:autoSpaceDN w:val="0"/>
              <w:adjustRightInd w:val="0"/>
              <w:rPr>
                <w:sz w:val="18"/>
                <w:szCs w:val="18"/>
              </w:rPr>
            </w:pPr>
            <w:r>
              <w:rPr>
                <w:noProof/>
              </w:rPr>
              <w:drawing>
                <wp:inline distT="0" distB="0" distL="0" distR="0" wp14:anchorId="11451A79" wp14:editId="23154975">
                  <wp:extent cx="1103630" cy="280670"/>
                  <wp:effectExtent l="0" t="0" r="1270" b="5080"/>
                  <wp:docPr id="108485858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280670"/>
                          </a:xfrm>
                          <a:prstGeom prst="rect">
                            <a:avLst/>
                          </a:prstGeom>
                          <a:noFill/>
                        </pic:spPr>
                      </pic:pic>
                    </a:graphicData>
                  </a:graphic>
                </wp:inline>
              </w:drawing>
            </w:r>
          </w:p>
        </w:tc>
        <w:tc>
          <w:tcPr>
            <w:tcW w:w="2788" w:type="dxa"/>
            <w:vAlign w:val="center"/>
          </w:tcPr>
          <w:p w14:paraId="4AA70B6E" w14:textId="2F84C113" w:rsidR="00E26A4A" w:rsidRPr="00EE6A29" w:rsidRDefault="00E26A4A" w:rsidP="00E26A4A">
            <w:pPr>
              <w:rPr>
                <w:rFonts w:ascii="Poppins" w:hAnsi="Poppins" w:cs="Poppins"/>
                <w:sz w:val="16"/>
                <w:szCs w:val="16"/>
                <w:lang w:val="en-GB"/>
              </w:rPr>
            </w:pPr>
            <w:r>
              <w:rPr>
                <w:rFonts w:ascii="Poppins" w:hAnsi="Poppins" w:cs="Poppins"/>
                <w:sz w:val="16"/>
                <w:szCs w:val="16"/>
                <w:lang w:val="en-GB"/>
              </w:rPr>
              <w:t>Chromogen Reagent</w:t>
            </w:r>
          </w:p>
        </w:tc>
      </w:tr>
      <w:tr w:rsidR="00E26A4A" w:rsidRPr="003902C9" w14:paraId="1B911916" w14:textId="77777777" w:rsidTr="00742F52">
        <w:trPr>
          <w:trHeight w:val="527"/>
        </w:trPr>
        <w:tc>
          <w:tcPr>
            <w:tcW w:w="2335" w:type="dxa"/>
            <w:vAlign w:val="center"/>
          </w:tcPr>
          <w:p w14:paraId="37B5B4EA" w14:textId="77777777" w:rsidR="00E26A4A" w:rsidRPr="00092230" w:rsidRDefault="00E26A4A" w:rsidP="00E26A4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F4B1166" wp14:editId="1DE749E7">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41"/>
                          <a:stretch>
                            <a:fillRect/>
                          </a:stretch>
                        </pic:blipFill>
                        <pic:spPr>
                          <a:xfrm>
                            <a:off x="0" y="0"/>
                            <a:ext cx="535072" cy="305756"/>
                          </a:xfrm>
                          <a:prstGeom prst="rect">
                            <a:avLst/>
                          </a:prstGeom>
                        </pic:spPr>
                      </pic:pic>
                    </a:graphicData>
                  </a:graphic>
                </wp:inline>
              </w:drawing>
            </w:r>
          </w:p>
        </w:tc>
        <w:tc>
          <w:tcPr>
            <w:tcW w:w="2943" w:type="dxa"/>
            <w:vAlign w:val="center"/>
          </w:tcPr>
          <w:p w14:paraId="50EA41E2" w14:textId="77777777" w:rsidR="00E26A4A" w:rsidRPr="00EE6A29" w:rsidRDefault="00E26A4A" w:rsidP="00E26A4A">
            <w:pPr>
              <w:rPr>
                <w:rFonts w:ascii="Poppins" w:hAnsi="Poppins" w:cs="Poppins"/>
                <w:sz w:val="16"/>
                <w:szCs w:val="16"/>
              </w:rPr>
            </w:pPr>
            <w:r w:rsidRPr="00EE6A29">
              <w:rPr>
                <w:rFonts w:ascii="Poppins" w:hAnsi="Poppins" w:cs="Poppins"/>
                <w:sz w:val="16"/>
                <w:szCs w:val="16"/>
                <w:lang w:val="en-GB"/>
              </w:rPr>
              <w:t>Unique Device Identifier</w:t>
            </w:r>
          </w:p>
        </w:tc>
        <w:tc>
          <w:tcPr>
            <w:tcW w:w="2639" w:type="dxa"/>
            <w:vAlign w:val="center"/>
          </w:tcPr>
          <w:p w14:paraId="45EE62E1" w14:textId="14C8174A" w:rsidR="00E26A4A" w:rsidRPr="00092230" w:rsidRDefault="00E26A4A" w:rsidP="00E26A4A">
            <w:pPr>
              <w:kinsoku w:val="0"/>
              <w:overflowPunct w:val="0"/>
              <w:autoSpaceDE w:val="0"/>
              <w:autoSpaceDN w:val="0"/>
              <w:adjustRightInd w:val="0"/>
              <w:rPr>
                <w:sz w:val="18"/>
                <w:szCs w:val="18"/>
              </w:rPr>
            </w:pPr>
            <w:r>
              <w:rPr>
                <w:noProof/>
              </w:rPr>
              <w:drawing>
                <wp:inline distT="0" distB="0" distL="0" distR="0" wp14:anchorId="5B322189" wp14:editId="2D3D72B1">
                  <wp:extent cx="1017905" cy="286385"/>
                  <wp:effectExtent l="0" t="0" r="0" b="0"/>
                  <wp:docPr id="18609386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905" cy="286385"/>
                          </a:xfrm>
                          <a:prstGeom prst="rect">
                            <a:avLst/>
                          </a:prstGeom>
                          <a:noFill/>
                        </pic:spPr>
                      </pic:pic>
                    </a:graphicData>
                  </a:graphic>
                </wp:inline>
              </w:drawing>
            </w:r>
          </w:p>
        </w:tc>
        <w:tc>
          <w:tcPr>
            <w:tcW w:w="2788" w:type="dxa"/>
            <w:vAlign w:val="center"/>
          </w:tcPr>
          <w:p w14:paraId="65541B2B" w14:textId="3DF7DC0E" w:rsidR="00E26A4A" w:rsidRPr="00EE6A29" w:rsidRDefault="00E26A4A" w:rsidP="00E26A4A">
            <w:pPr>
              <w:rPr>
                <w:rFonts w:ascii="Poppins" w:hAnsi="Poppins" w:cs="Poppins"/>
                <w:sz w:val="16"/>
                <w:szCs w:val="16"/>
                <w:lang w:val="en-GB"/>
              </w:rPr>
            </w:pPr>
            <w:r>
              <w:rPr>
                <w:rFonts w:ascii="Poppins" w:hAnsi="Poppins" w:cs="Poppins"/>
                <w:sz w:val="16"/>
                <w:szCs w:val="16"/>
                <w:lang w:val="en-GB"/>
              </w:rPr>
              <w:t>Conjugate Diluent</w:t>
            </w:r>
          </w:p>
        </w:tc>
      </w:tr>
      <w:tr w:rsidR="00E26A4A" w:rsidRPr="008715C6" w14:paraId="74798231" w14:textId="77777777" w:rsidTr="00742F52">
        <w:trPr>
          <w:trHeight w:val="527"/>
        </w:trPr>
        <w:tc>
          <w:tcPr>
            <w:tcW w:w="2335" w:type="dxa"/>
            <w:vAlign w:val="center"/>
          </w:tcPr>
          <w:p w14:paraId="287C30B8" w14:textId="77777777" w:rsidR="00E26A4A" w:rsidRPr="00092230" w:rsidRDefault="00E26A4A" w:rsidP="00E26A4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DDE2F7E" wp14:editId="0FD0D968">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3F65C083" w14:textId="77777777" w:rsidR="00E26A4A" w:rsidRPr="00EE6A29" w:rsidRDefault="00E26A4A" w:rsidP="00E26A4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639" w:type="dxa"/>
            <w:vAlign w:val="center"/>
          </w:tcPr>
          <w:p w14:paraId="3D9727E0" w14:textId="7260C6F2" w:rsidR="00E26A4A" w:rsidRPr="00092230" w:rsidRDefault="00E26A4A" w:rsidP="00E26A4A">
            <w:pPr>
              <w:rPr>
                <w:rFonts w:ascii="Poppins" w:hAnsi="Poppins" w:cs="Poppins"/>
                <w:noProof/>
                <w:sz w:val="18"/>
                <w:szCs w:val="18"/>
                <w:lang w:val="en-GB"/>
              </w:rPr>
            </w:pPr>
            <w:r>
              <w:rPr>
                <w:noProof/>
              </w:rPr>
              <w:drawing>
                <wp:inline distT="0" distB="0" distL="0" distR="0" wp14:anchorId="05BD265B" wp14:editId="44752F06">
                  <wp:extent cx="670560" cy="280670"/>
                  <wp:effectExtent l="0" t="0" r="0" b="5080"/>
                  <wp:docPr id="11210155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280670"/>
                          </a:xfrm>
                          <a:prstGeom prst="rect">
                            <a:avLst/>
                          </a:prstGeom>
                          <a:noFill/>
                        </pic:spPr>
                      </pic:pic>
                    </a:graphicData>
                  </a:graphic>
                </wp:inline>
              </w:drawing>
            </w:r>
          </w:p>
        </w:tc>
        <w:tc>
          <w:tcPr>
            <w:tcW w:w="2788" w:type="dxa"/>
            <w:vAlign w:val="center"/>
          </w:tcPr>
          <w:p w14:paraId="6AE17E62" w14:textId="4F804A22" w:rsidR="00E26A4A" w:rsidRPr="00EE6A29" w:rsidRDefault="00E26A4A" w:rsidP="00E26A4A">
            <w:pPr>
              <w:rPr>
                <w:rFonts w:ascii="Poppins" w:hAnsi="Poppins" w:cs="Poppins"/>
                <w:sz w:val="16"/>
                <w:szCs w:val="16"/>
                <w:lang w:val="en-GB"/>
              </w:rPr>
            </w:pPr>
            <w:r>
              <w:rPr>
                <w:rFonts w:ascii="Poppins" w:hAnsi="Poppins" w:cs="Poppins"/>
                <w:sz w:val="16"/>
                <w:szCs w:val="16"/>
                <w:lang w:val="en-GB"/>
              </w:rPr>
              <w:t>Specimen Diluent</w:t>
            </w:r>
          </w:p>
        </w:tc>
      </w:tr>
      <w:tr w:rsidR="00E26A4A" w:rsidRPr="008715C6" w14:paraId="69D02706" w14:textId="77777777" w:rsidTr="00742F52">
        <w:trPr>
          <w:trHeight w:val="527"/>
        </w:trPr>
        <w:tc>
          <w:tcPr>
            <w:tcW w:w="2335" w:type="dxa"/>
            <w:vAlign w:val="center"/>
          </w:tcPr>
          <w:p w14:paraId="74848B68" w14:textId="77777777" w:rsidR="00E26A4A" w:rsidRPr="00092230" w:rsidRDefault="00E26A4A" w:rsidP="00E26A4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A22AE1" wp14:editId="0E53DBD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3" w:type="dxa"/>
            <w:vAlign w:val="center"/>
          </w:tcPr>
          <w:p w14:paraId="1BE50D7E" w14:textId="77777777" w:rsidR="00E26A4A" w:rsidRPr="00EE6A29" w:rsidRDefault="00E26A4A" w:rsidP="00E26A4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639" w:type="dxa"/>
            <w:vAlign w:val="center"/>
          </w:tcPr>
          <w:p w14:paraId="3D43663A" w14:textId="73400934" w:rsidR="00E26A4A" w:rsidRPr="00092230" w:rsidRDefault="00E26A4A" w:rsidP="00E26A4A">
            <w:pPr>
              <w:rPr>
                <w:rFonts w:ascii="Poppins" w:hAnsi="Poppins" w:cs="Poppins"/>
                <w:sz w:val="18"/>
                <w:szCs w:val="18"/>
                <w:lang w:val="en-GB"/>
              </w:rPr>
            </w:pPr>
            <w:r>
              <w:rPr>
                <w:noProof/>
              </w:rPr>
              <w:drawing>
                <wp:inline distT="0" distB="0" distL="0" distR="0" wp14:anchorId="7AADFABC" wp14:editId="7F78FF65">
                  <wp:extent cx="682625" cy="286385"/>
                  <wp:effectExtent l="0" t="0" r="3175" b="0"/>
                  <wp:docPr id="25816804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625" cy="286385"/>
                          </a:xfrm>
                          <a:prstGeom prst="rect">
                            <a:avLst/>
                          </a:prstGeom>
                          <a:noFill/>
                        </pic:spPr>
                      </pic:pic>
                    </a:graphicData>
                  </a:graphic>
                </wp:inline>
              </w:drawing>
            </w:r>
          </w:p>
        </w:tc>
        <w:tc>
          <w:tcPr>
            <w:tcW w:w="2788" w:type="dxa"/>
            <w:vAlign w:val="center"/>
          </w:tcPr>
          <w:p w14:paraId="5DB59589" w14:textId="4C88B602" w:rsidR="00E26A4A" w:rsidRPr="00EE6A29" w:rsidRDefault="00E26A4A" w:rsidP="00E26A4A">
            <w:pPr>
              <w:rPr>
                <w:rFonts w:ascii="Poppins" w:hAnsi="Poppins" w:cs="Poppins"/>
                <w:sz w:val="16"/>
                <w:szCs w:val="16"/>
                <w:lang w:val="en-GB"/>
              </w:rPr>
            </w:pPr>
            <w:r>
              <w:rPr>
                <w:rFonts w:ascii="Poppins" w:hAnsi="Poppins" w:cs="Poppins"/>
                <w:sz w:val="16"/>
                <w:szCs w:val="16"/>
                <w:lang w:val="en-GB"/>
              </w:rPr>
              <w:t>Buffered Substrate</w:t>
            </w:r>
          </w:p>
        </w:tc>
      </w:tr>
      <w:tr w:rsidR="00E26A4A" w:rsidRPr="009B7112" w14:paraId="28365F7F" w14:textId="77777777" w:rsidTr="00742F52">
        <w:trPr>
          <w:trHeight w:val="527"/>
        </w:trPr>
        <w:tc>
          <w:tcPr>
            <w:tcW w:w="2335" w:type="dxa"/>
            <w:vAlign w:val="center"/>
          </w:tcPr>
          <w:p w14:paraId="71760850" w14:textId="77777777" w:rsidR="00E26A4A" w:rsidRPr="00092230" w:rsidRDefault="00E26A4A" w:rsidP="00E26A4A">
            <w:pPr>
              <w:rPr>
                <w:rFonts w:ascii="Poppins" w:hAnsi="Poppins" w:cs="Poppins"/>
                <w:noProof/>
                <w:sz w:val="18"/>
                <w:szCs w:val="18"/>
                <w:lang w:val="en-GB"/>
              </w:rPr>
            </w:pPr>
            <w:r w:rsidRPr="00092230">
              <w:rPr>
                <w:noProof/>
                <w:sz w:val="18"/>
                <w:szCs w:val="18"/>
              </w:rPr>
              <w:drawing>
                <wp:inline distT="0" distB="0" distL="0" distR="0" wp14:anchorId="2EE044BB" wp14:editId="6CB982B0">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2943" w:type="dxa"/>
            <w:vAlign w:val="center"/>
          </w:tcPr>
          <w:p w14:paraId="5829DDEC" w14:textId="77777777" w:rsidR="00E26A4A" w:rsidRPr="00EE6A29" w:rsidRDefault="00E26A4A" w:rsidP="00E26A4A">
            <w:pPr>
              <w:rPr>
                <w:rFonts w:ascii="Poppins" w:hAnsi="Poppins" w:cs="Poppins"/>
                <w:sz w:val="16"/>
                <w:szCs w:val="16"/>
              </w:rPr>
            </w:pPr>
            <w:r w:rsidRPr="00EE6A29">
              <w:rPr>
                <w:rFonts w:ascii="Poppins" w:hAnsi="Poppins" w:cs="Poppins"/>
                <w:sz w:val="16"/>
                <w:szCs w:val="16"/>
              </w:rPr>
              <w:t>Store in the upright position</w:t>
            </w:r>
          </w:p>
        </w:tc>
        <w:tc>
          <w:tcPr>
            <w:tcW w:w="2639" w:type="dxa"/>
            <w:vAlign w:val="center"/>
          </w:tcPr>
          <w:p w14:paraId="5933801F" w14:textId="319E67B8" w:rsidR="00E26A4A" w:rsidRPr="00092230" w:rsidRDefault="00E26A4A" w:rsidP="00E26A4A">
            <w:pPr>
              <w:rPr>
                <w:rFonts w:ascii="Poppins" w:hAnsi="Poppins" w:cs="Poppins"/>
                <w:sz w:val="18"/>
                <w:szCs w:val="18"/>
                <w:lang w:val="en-GB"/>
              </w:rPr>
            </w:pPr>
            <w:r>
              <w:rPr>
                <w:noProof/>
              </w:rPr>
              <w:drawing>
                <wp:inline distT="0" distB="0" distL="0" distR="0" wp14:anchorId="24FDDBF5" wp14:editId="39EBFEE0">
                  <wp:extent cx="1024255" cy="280670"/>
                  <wp:effectExtent l="0" t="0" r="4445" b="5080"/>
                  <wp:docPr id="5281064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2788" w:type="dxa"/>
            <w:vAlign w:val="center"/>
          </w:tcPr>
          <w:p w14:paraId="27C719DA" w14:textId="14DE0594" w:rsidR="00E26A4A" w:rsidRPr="00EE6A29" w:rsidRDefault="00E26A4A" w:rsidP="00E26A4A">
            <w:pPr>
              <w:rPr>
                <w:rFonts w:ascii="Poppins" w:hAnsi="Poppins" w:cs="Poppins"/>
                <w:sz w:val="16"/>
                <w:szCs w:val="16"/>
                <w:lang w:val="en-GB"/>
              </w:rPr>
            </w:pPr>
            <w:r>
              <w:rPr>
                <w:rFonts w:ascii="Poppins" w:hAnsi="Poppins" w:cs="Poppins"/>
                <w:sz w:val="16"/>
                <w:szCs w:val="16"/>
              </w:rPr>
              <w:t xml:space="preserve">0 nM BCE Calibrator   </w:t>
            </w:r>
          </w:p>
        </w:tc>
      </w:tr>
      <w:tr w:rsidR="00E26A4A" w:rsidRPr="009B7112" w14:paraId="4972B9B1" w14:textId="77777777" w:rsidTr="00742F52">
        <w:trPr>
          <w:trHeight w:val="527"/>
        </w:trPr>
        <w:tc>
          <w:tcPr>
            <w:tcW w:w="2335" w:type="dxa"/>
            <w:vAlign w:val="center"/>
          </w:tcPr>
          <w:p w14:paraId="48FA5FA8" w14:textId="77777777" w:rsidR="00E26A4A" w:rsidRPr="00092230" w:rsidRDefault="00E26A4A" w:rsidP="00E26A4A">
            <w:pPr>
              <w:rPr>
                <w:noProof/>
                <w:sz w:val="18"/>
                <w:szCs w:val="18"/>
              </w:rPr>
            </w:pPr>
            <w:r w:rsidRPr="00092230">
              <w:rPr>
                <w:noProof/>
                <w:sz w:val="18"/>
                <w:szCs w:val="18"/>
              </w:rPr>
              <w:drawing>
                <wp:inline distT="0" distB="0" distL="0" distR="0" wp14:anchorId="7F5E2B1F" wp14:editId="5AA94729">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5"/>
                          <a:stretch>
                            <a:fillRect/>
                          </a:stretch>
                        </pic:blipFill>
                        <pic:spPr>
                          <a:xfrm>
                            <a:off x="0" y="0"/>
                            <a:ext cx="900329" cy="308684"/>
                          </a:xfrm>
                          <a:prstGeom prst="rect">
                            <a:avLst/>
                          </a:prstGeom>
                        </pic:spPr>
                      </pic:pic>
                    </a:graphicData>
                  </a:graphic>
                </wp:inline>
              </w:drawing>
            </w:r>
          </w:p>
        </w:tc>
        <w:tc>
          <w:tcPr>
            <w:tcW w:w="2943" w:type="dxa"/>
            <w:vAlign w:val="center"/>
          </w:tcPr>
          <w:p w14:paraId="483485AD" w14:textId="77777777" w:rsidR="00E26A4A" w:rsidRPr="00EE6A29" w:rsidRDefault="00E26A4A" w:rsidP="00E26A4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639" w:type="dxa"/>
            <w:vAlign w:val="center"/>
          </w:tcPr>
          <w:p w14:paraId="21F908EE" w14:textId="2D780BAF" w:rsidR="00E26A4A" w:rsidRPr="00092230" w:rsidRDefault="00E26A4A" w:rsidP="00E26A4A">
            <w:pPr>
              <w:rPr>
                <w:rFonts w:ascii="Poppins" w:hAnsi="Poppins" w:cs="Poppins"/>
                <w:sz w:val="18"/>
                <w:szCs w:val="18"/>
                <w:lang w:val="en-GB"/>
              </w:rPr>
            </w:pPr>
            <w:r>
              <w:rPr>
                <w:noProof/>
              </w:rPr>
              <w:drawing>
                <wp:inline distT="0" distB="0" distL="0" distR="0" wp14:anchorId="71651123" wp14:editId="4D4F6061">
                  <wp:extent cx="1024255" cy="286385"/>
                  <wp:effectExtent l="0" t="0" r="4445" b="0"/>
                  <wp:docPr id="17149887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2788" w:type="dxa"/>
            <w:vAlign w:val="center"/>
          </w:tcPr>
          <w:p w14:paraId="69D84616" w14:textId="70D8F417" w:rsidR="00E26A4A" w:rsidRPr="00EE6A29" w:rsidRDefault="00E26A4A" w:rsidP="00E26A4A">
            <w:pPr>
              <w:rPr>
                <w:rFonts w:ascii="Poppins" w:hAnsi="Poppins" w:cs="Poppins"/>
                <w:sz w:val="16"/>
                <w:szCs w:val="16"/>
                <w:lang w:val="en-GB"/>
              </w:rPr>
            </w:pPr>
            <w:r>
              <w:rPr>
                <w:rFonts w:ascii="Poppins" w:hAnsi="Poppins" w:cs="Poppins"/>
                <w:sz w:val="16"/>
                <w:szCs w:val="16"/>
              </w:rPr>
              <w:t>5 nM BCE Calibrator</w:t>
            </w:r>
          </w:p>
        </w:tc>
      </w:tr>
      <w:tr w:rsidR="00E26A4A" w:rsidRPr="009B7112" w14:paraId="75A17C49" w14:textId="77777777" w:rsidTr="00742F52">
        <w:trPr>
          <w:trHeight w:val="527"/>
        </w:trPr>
        <w:tc>
          <w:tcPr>
            <w:tcW w:w="2335" w:type="dxa"/>
            <w:vAlign w:val="center"/>
          </w:tcPr>
          <w:p w14:paraId="514AA65F" w14:textId="77777777" w:rsidR="00E26A4A" w:rsidRPr="00092230" w:rsidRDefault="00E26A4A" w:rsidP="00E26A4A">
            <w:pPr>
              <w:rPr>
                <w:noProof/>
                <w:sz w:val="18"/>
                <w:szCs w:val="18"/>
              </w:rPr>
            </w:pPr>
            <w:r>
              <w:rPr>
                <w:noProof/>
                <w:sz w:val="18"/>
                <w:szCs w:val="18"/>
              </w:rPr>
              <w:drawing>
                <wp:inline distT="0" distB="0" distL="0" distR="0" wp14:anchorId="0F3BFB2D" wp14:editId="0B1FB056">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6"/>
                          <a:stretch>
                            <a:fillRect/>
                          </a:stretch>
                        </pic:blipFill>
                        <pic:spPr>
                          <a:xfrm>
                            <a:off x="0" y="0"/>
                            <a:ext cx="509017" cy="441961"/>
                          </a:xfrm>
                          <a:prstGeom prst="rect">
                            <a:avLst/>
                          </a:prstGeom>
                        </pic:spPr>
                      </pic:pic>
                    </a:graphicData>
                  </a:graphic>
                </wp:inline>
              </w:drawing>
            </w:r>
          </w:p>
        </w:tc>
        <w:tc>
          <w:tcPr>
            <w:tcW w:w="2943" w:type="dxa"/>
            <w:vAlign w:val="center"/>
          </w:tcPr>
          <w:p w14:paraId="37DD7A01" w14:textId="77777777" w:rsidR="00E26A4A" w:rsidRPr="00EE6A29" w:rsidRDefault="00E26A4A" w:rsidP="00E26A4A">
            <w:pPr>
              <w:rPr>
                <w:rFonts w:ascii="Poppins" w:hAnsi="Poppins" w:cs="Poppins"/>
                <w:sz w:val="16"/>
                <w:szCs w:val="16"/>
              </w:rPr>
            </w:pPr>
            <w:r w:rsidRPr="00EE6A29">
              <w:rPr>
                <w:rFonts w:ascii="Poppins" w:hAnsi="Poppins" w:cs="Poppins"/>
                <w:sz w:val="16"/>
                <w:szCs w:val="16"/>
                <w:lang w:val="en-GB"/>
              </w:rPr>
              <w:t>Corrosive</w:t>
            </w:r>
          </w:p>
        </w:tc>
        <w:tc>
          <w:tcPr>
            <w:tcW w:w="2639" w:type="dxa"/>
            <w:vAlign w:val="center"/>
          </w:tcPr>
          <w:p w14:paraId="469E5CFE" w14:textId="3401B802" w:rsidR="00E26A4A" w:rsidRPr="00092230" w:rsidRDefault="00E26A4A" w:rsidP="00E26A4A">
            <w:pPr>
              <w:rPr>
                <w:rFonts w:ascii="Poppins" w:hAnsi="Poppins" w:cs="Poppins"/>
                <w:noProof/>
                <w:sz w:val="18"/>
                <w:szCs w:val="18"/>
                <w:lang w:val="en-GB"/>
              </w:rPr>
            </w:pPr>
            <w:r>
              <w:rPr>
                <w:noProof/>
              </w:rPr>
              <w:drawing>
                <wp:inline distT="0" distB="0" distL="0" distR="0" wp14:anchorId="40FCE936" wp14:editId="418B9735">
                  <wp:extent cx="1024255" cy="286385"/>
                  <wp:effectExtent l="0" t="0" r="4445" b="0"/>
                  <wp:docPr id="15594691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2788" w:type="dxa"/>
            <w:vAlign w:val="center"/>
          </w:tcPr>
          <w:p w14:paraId="446253F1" w14:textId="338D32A5" w:rsidR="00E26A4A" w:rsidRPr="00EE6A29" w:rsidRDefault="00E26A4A" w:rsidP="00E26A4A">
            <w:pPr>
              <w:rPr>
                <w:rFonts w:ascii="Poppins" w:hAnsi="Poppins" w:cs="Poppins"/>
                <w:sz w:val="16"/>
                <w:szCs w:val="16"/>
                <w:lang w:val="en-GB"/>
              </w:rPr>
            </w:pPr>
            <w:r>
              <w:rPr>
                <w:rFonts w:ascii="Poppins" w:hAnsi="Poppins" w:cs="Poppins"/>
                <w:sz w:val="16"/>
                <w:szCs w:val="16"/>
              </w:rPr>
              <w:t>10 nM BCE Calibrator</w:t>
            </w:r>
          </w:p>
        </w:tc>
      </w:tr>
      <w:tr w:rsidR="00E26A4A" w:rsidRPr="009B7112" w14:paraId="6F98119C" w14:textId="77777777" w:rsidTr="00742F52">
        <w:trPr>
          <w:trHeight w:val="527"/>
        </w:trPr>
        <w:tc>
          <w:tcPr>
            <w:tcW w:w="2335" w:type="dxa"/>
            <w:vAlign w:val="center"/>
          </w:tcPr>
          <w:p w14:paraId="4F29E1BF" w14:textId="77777777" w:rsidR="00E26A4A" w:rsidRPr="00092230" w:rsidRDefault="00E26A4A" w:rsidP="00E26A4A">
            <w:pPr>
              <w:rPr>
                <w:noProof/>
                <w:sz w:val="18"/>
                <w:szCs w:val="18"/>
              </w:rPr>
            </w:pPr>
            <w:r w:rsidRPr="00092230">
              <w:rPr>
                <w:rFonts w:ascii="Poppins" w:hAnsi="Poppins" w:cs="Poppins"/>
                <w:noProof/>
                <w:sz w:val="18"/>
                <w:szCs w:val="18"/>
                <w:lang w:val="en-GB"/>
              </w:rPr>
              <w:drawing>
                <wp:inline distT="0" distB="0" distL="0" distR="0" wp14:anchorId="50D8E5FA" wp14:editId="2BFB8CD3">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7"/>
                          <a:stretch>
                            <a:fillRect/>
                          </a:stretch>
                        </pic:blipFill>
                        <pic:spPr>
                          <a:xfrm>
                            <a:off x="0" y="0"/>
                            <a:ext cx="442457" cy="436077"/>
                          </a:xfrm>
                          <a:prstGeom prst="rect">
                            <a:avLst/>
                          </a:prstGeom>
                        </pic:spPr>
                      </pic:pic>
                    </a:graphicData>
                  </a:graphic>
                </wp:inline>
              </w:drawing>
            </w:r>
          </w:p>
        </w:tc>
        <w:tc>
          <w:tcPr>
            <w:tcW w:w="2943" w:type="dxa"/>
            <w:vAlign w:val="center"/>
          </w:tcPr>
          <w:p w14:paraId="14C64584" w14:textId="77777777" w:rsidR="00E26A4A" w:rsidRPr="00EE6A29" w:rsidRDefault="00E26A4A" w:rsidP="00E26A4A">
            <w:pPr>
              <w:rPr>
                <w:rFonts w:ascii="Poppins" w:hAnsi="Poppins" w:cs="Poppins"/>
                <w:sz w:val="16"/>
                <w:szCs w:val="16"/>
              </w:rPr>
            </w:pPr>
            <w:r w:rsidRPr="00EE6A29">
              <w:rPr>
                <w:rFonts w:ascii="Poppins" w:hAnsi="Poppins" w:cs="Poppins"/>
                <w:sz w:val="16"/>
                <w:szCs w:val="16"/>
                <w:lang w:val="en-GB"/>
              </w:rPr>
              <w:t>Hazardous Communication</w:t>
            </w:r>
          </w:p>
        </w:tc>
        <w:tc>
          <w:tcPr>
            <w:tcW w:w="2639" w:type="dxa"/>
            <w:vAlign w:val="center"/>
          </w:tcPr>
          <w:p w14:paraId="1565865D" w14:textId="103BA0E9" w:rsidR="00E26A4A" w:rsidRPr="00092230" w:rsidRDefault="00E26A4A" w:rsidP="00E26A4A">
            <w:pPr>
              <w:rPr>
                <w:rFonts w:ascii="Poppins" w:hAnsi="Poppins" w:cs="Poppins"/>
                <w:noProof/>
                <w:sz w:val="18"/>
                <w:szCs w:val="18"/>
                <w:lang w:val="en-GB"/>
              </w:rPr>
            </w:pPr>
            <w:r>
              <w:rPr>
                <w:noProof/>
              </w:rPr>
              <w:drawing>
                <wp:inline distT="0" distB="0" distL="0" distR="0" wp14:anchorId="5A98C862" wp14:editId="324C4B38">
                  <wp:extent cx="1024255" cy="286385"/>
                  <wp:effectExtent l="0" t="0" r="4445" b="0"/>
                  <wp:docPr id="12193607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4255" cy="286385"/>
                          </a:xfrm>
                          <a:prstGeom prst="rect">
                            <a:avLst/>
                          </a:prstGeom>
                          <a:noFill/>
                        </pic:spPr>
                      </pic:pic>
                    </a:graphicData>
                  </a:graphic>
                </wp:inline>
              </w:drawing>
            </w:r>
          </w:p>
        </w:tc>
        <w:tc>
          <w:tcPr>
            <w:tcW w:w="2788" w:type="dxa"/>
            <w:vAlign w:val="center"/>
          </w:tcPr>
          <w:p w14:paraId="72E0541B" w14:textId="5B1515FC" w:rsidR="00E26A4A" w:rsidRPr="00EE6A29" w:rsidRDefault="00E26A4A" w:rsidP="00E26A4A">
            <w:pPr>
              <w:rPr>
                <w:rFonts w:ascii="Poppins" w:hAnsi="Poppins" w:cs="Poppins"/>
                <w:sz w:val="16"/>
                <w:szCs w:val="16"/>
                <w:lang w:val="en-GB"/>
              </w:rPr>
            </w:pPr>
            <w:r>
              <w:rPr>
                <w:rFonts w:ascii="Poppins" w:hAnsi="Poppins" w:cs="Poppins"/>
                <w:sz w:val="16"/>
                <w:szCs w:val="16"/>
              </w:rPr>
              <w:t>20 nM BCE Calibrator</w:t>
            </w:r>
          </w:p>
        </w:tc>
      </w:tr>
      <w:tr w:rsidR="00742F52" w:rsidRPr="009B7112" w14:paraId="235C91FD" w14:textId="77777777" w:rsidTr="00742F52">
        <w:trPr>
          <w:trHeight w:val="527"/>
        </w:trPr>
        <w:tc>
          <w:tcPr>
            <w:tcW w:w="2335" w:type="dxa"/>
            <w:vAlign w:val="center"/>
          </w:tcPr>
          <w:p w14:paraId="3C9C9B90" w14:textId="77777777" w:rsidR="00742F52" w:rsidRDefault="00742F52" w:rsidP="00742F52">
            <w:pPr>
              <w:kinsoku w:val="0"/>
              <w:overflowPunct w:val="0"/>
              <w:autoSpaceDE w:val="0"/>
              <w:autoSpaceDN w:val="0"/>
              <w:adjustRightInd w:val="0"/>
              <w:spacing w:line="193" w:lineRule="exact"/>
              <w:rPr>
                <w:noProof/>
                <w:sz w:val="18"/>
                <w:szCs w:val="18"/>
              </w:rPr>
            </w:pPr>
          </w:p>
          <w:p w14:paraId="37E89392" w14:textId="5F08B80E" w:rsidR="00742F52" w:rsidRPr="00092230" w:rsidRDefault="00742F52" w:rsidP="00742F52">
            <w:pPr>
              <w:rPr>
                <w:rFonts w:ascii="Poppins" w:hAnsi="Poppins" w:cs="Poppins"/>
                <w:noProof/>
                <w:sz w:val="18"/>
                <w:szCs w:val="18"/>
                <w:lang w:val="en-GB"/>
              </w:rPr>
            </w:pPr>
            <w:r w:rsidRPr="00092230">
              <w:rPr>
                <w:noProof/>
                <w:sz w:val="18"/>
                <w:szCs w:val="18"/>
              </w:rPr>
              <w:drawing>
                <wp:inline distT="0" distB="0" distL="0" distR="0" wp14:anchorId="6C89DBA2" wp14:editId="7FBBBAED">
                  <wp:extent cx="409575" cy="277316"/>
                  <wp:effectExtent l="0" t="0" r="0" b="8890"/>
                  <wp:docPr id="1238907309"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48"/>
                          <a:stretch>
                            <a:fillRect/>
                          </a:stretch>
                        </pic:blipFill>
                        <pic:spPr>
                          <a:xfrm>
                            <a:off x="0" y="0"/>
                            <a:ext cx="424922" cy="287707"/>
                          </a:xfrm>
                          <a:prstGeom prst="rect">
                            <a:avLst/>
                          </a:prstGeom>
                        </pic:spPr>
                      </pic:pic>
                    </a:graphicData>
                  </a:graphic>
                </wp:inline>
              </w:drawing>
            </w:r>
          </w:p>
        </w:tc>
        <w:tc>
          <w:tcPr>
            <w:tcW w:w="2943" w:type="dxa"/>
            <w:vAlign w:val="center"/>
          </w:tcPr>
          <w:p w14:paraId="7072124A" w14:textId="5FFF17A6" w:rsidR="00742F52" w:rsidRPr="00EE6A29" w:rsidRDefault="00742F52" w:rsidP="00742F52">
            <w:pPr>
              <w:rPr>
                <w:rFonts w:ascii="Poppins" w:hAnsi="Poppins" w:cs="Poppins"/>
                <w:sz w:val="16"/>
                <w:szCs w:val="16"/>
                <w:lang w:val="en-GB"/>
              </w:rPr>
            </w:pPr>
            <w:r w:rsidRPr="00EE6A29">
              <w:rPr>
                <w:rFonts w:ascii="Poppins" w:hAnsi="Poppins" w:cs="Poppins"/>
                <w:sz w:val="16"/>
                <w:szCs w:val="16"/>
              </w:rPr>
              <w:t>English</w:t>
            </w:r>
          </w:p>
        </w:tc>
        <w:tc>
          <w:tcPr>
            <w:tcW w:w="2639" w:type="dxa"/>
            <w:vAlign w:val="center"/>
          </w:tcPr>
          <w:p w14:paraId="6334A14F" w14:textId="3F2E89E3" w:rsidR="00742F52" w:rsidRPr="00092230" w:rsidRDefault="00742F52" w:rsidP="00742F52">
            <w:pPr>
              <w:rPr>
                <w:noProof/>
                <w:sz w:val="18"/>
                <w:szCs w:val="18"/>
              </w:rPr>
            </w:pPr>
            <w:r>
              <w:rPr>
                <w:noProof/>
              </w:rPr>
              <w:drawing>
                <wp:inline distT="0" distB="0" distL="0" distR="0" wp14:anchorId="776C9E6E" wp14:editId="1D06E16B">
                  <wp:extent cx="1024255" cy="280670"/>
                  <wp:effectExtent l="0" t="0" r="4445" b="5080"/>
                  <wp:docPr id="12370294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2788" w:type="dxa"/>
            <w:vAlign w:val="center"/>
          </w:tcPr>
          <w:p w14:paraId="751D3A6C" w14:textId="75CDDED0" w:rsidR="00742F52" w:rsidRPr="00EE6A29" w:rsidRDefault="00742F52" w:rsidP="00742F52">
            <w:pPr>
              <w:rPr>
                <w:rFonts w:ascii="Poppins" w:hAnsi="Poppins" w:cs="Poppins"/>
                <w:sz w:val="16"/>
                <w:szCs w:val="16"/>
              </w:rPr>
            </w:pPr>
            <w:r>
              <w:rPr>
                <w:rFonts w:ascii="Poppins" w:hAnsi="Poppins" w:cs="Poppins"/>
                <w:sz w:val="16"/>
                <w:szCs w:val="16"/>
              </w:rPr>
              <w:t>40 nM BCE Calibrator</w:t>
            </w:r>
          </w:p>
        </w:tc>
      </w:tr>
      <w:tr w:rsidR="00E26A4A" w:rsidRPr="009B7112" w14:paraId="1A0E3C04" w14:textId="77777777" w:rsidTr="00742F52">
        <w:trPr>
          <w:trHeight w:val="638"/>
        </w:trPr>
        <w:tc>
          <w:tcPr>
            <w:tcW w:w="2335" w:type="dxa"/>
            <w:vAlign w:val="center"/>
          </w:tcPr>
          <w:p w14:paraId="3159697B" w14:textId="08CDEF9E" w:rsidR="00E26A4A" w:rsidRPr="000630A8" w:rsidRDefault="00E26A4A" w:rsidP="00E26A4A">
            <w:pPr>
              <w:rPr>
                <w:rFonts w:ascii="Calibri" w:hAnsi="Calibri"/>
                <w:noProof/>
                <w:sz w:val="16"/>
                <w:szCs w:val="16"/>
              </w:rPr>
            </w:pPr>
          </w:p>
        </w:tc>
        <w:tc>
          <w:tcPr>
            <w:tcW w:w="2943" w:type="dxa"/>
            <w:vAlign w:val="center"/>
          </w:tcPr>
          <w:p w14:paraId="4E3073F7" w14:textId="7D56DFA0" w:rsidR="00E26A4A" w:rsidRPr="00EE6A29" w:rsidRDefault="00E26A4A" w:rsidP="00E26A4A">
            <w:pPr>
              <w:rPr>
                <w:rFonts w:ascii="Poppins" w:hAnsi="Poppins" w:cs="Poppins"/>
                <w:sz w:val="16"/>
                <w:szCs w:val="16"/>
                <w:lang w:val="en-GB"/>
              </w:rPr>
            </w:pPr>
          </w:p>
        </w:tc>
        <w:tc>
          <w:tcPr>
            <w:tcW w:w="2639" w:type="dxa"/>
            <w:vAlign w:val="center"/>
          </w:tcPr>
          <w:p w14:paraId="33DDB43B" w14:textId="6C343ECE" w:rsidR="00E26A4A" w:rsidRDefault="00E669E1" w:rsidP="00E26A4A">
            <w:pPr>
              <w:rPr>
                <w:noProof/>
                <w:sz w:val="18"/>
                <w:szCs w:val="18"/>
              </w:rPr>
            </w:pPr>
            <w:r>
              <w:rPr>
                <w:noProof/>
                <w:sz w:val="18"/>
                <w:szCs w:val="18"/>
              </w:rPr>
              <w:drawing>
                <wp:inline distT="0" distB="0" distL="0" distR="0" wp14:anchorId="49B65DAD" wp14:editId="17FD51B5">
                  <wp:extent cx="1286510" cy="286385"/>
                  <wp:effectExtent l="0" t="0" r="8890" b="0"/>
                  <wp:docPr id="64112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2788" w:type="dxa"/>
            <w:vAlign w:val="center"/>
          </w:tcPr>
          <w:p w14:paraId="5B580BAE" w14:textId="38A61DD2" w:rsidR="00E26A4A" w:rsidRPr="00EE6A29" w:rsidRDefault="00E669E1" w:rsidP="00E26A4A">
            <w:pPr>
              <w:rPr>
                <w:rFonts w:ascii="Poppins" w:hAnsi="Poppins" w:cs="Poppins"/>
                <w:sz w:val="16"/>
                <w:szCs w:val="16"/>
              </w:rPr>
            </w:pPr>
            <w:r w:rsidRPr="00E669E1">
              <w:rPr>
                <w:rFonts w:ascii="Poppins" w:hAnsi="Poppins" w:cs="Poppins"/>
                <w:sz w:val="16"/>
                <w:szCs w:val="16"/>
              </w:rPr>
              <w:t>Made in the USA</w:t>
            </w:r>
          </w:p>
        </w:tc>
      </w:tr>
    </w:tbl>
    <w:p w14:paraId="5F52B912" w14:textId="3C1312AA" w:rsidR="00006C38" w:rsidRDefault="00742F52">
      <w:pPr>
        <w:rPr>
          <w:rFonts w:ascii="Poppins" w:hAnsi="Poppins" w:cs="Poppins"/>
          <w:color w:val="BE1448"/>
          <w:sz w:val="16"/>
          <w:szCs w:val="16"/>
        </w:rPr>
      </w:pPr>
      <w:r w:rsidRPr="00564A29">
        <w:rPr>
          <w:rFonts w:ascii="Poppins" w:hAnsi="Poppins" w:cs="Poppins"/>
          <w:noProof/>
        </w:rPr>
        <mc:AlternateContent>
          <mc:Choice Requires="wps">
            <w:drawing>
              <wp:anchor distT="0" distB="0" distL="114300" distR="114300" simplePos="0" relativeHeight="251729920" behindDoc="0" locked="0" layoutInCell="0" allowOverlap="1" wp14:anchorId="6B2141F3" wp14:editId="438D846A">
                <wp:simplePos x="0" y="0"/>
                <wp:positionH relativeFrom="margin">
                  <wp:posOffset>-114300</wp:posOffset>
                </wp:positionH>
                <wp:positionV relativeFrom="margin">
                  <wp:posOffset>7296150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9pt;margin-top:574.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p w14:paraId="262610F1" w14:textId="63D34BE2" w:rsidR="00AE6282" w:rsidRPr="00C5523E" w:rsidRDefault="00E669E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0640" behindDoc="0" locked="0" layoutInCell="0" allowOverlap="1" wp14:anchorId="7F0554E5" wp14:editId="5125E396">
                <wp:simplePos x="0" y="0"/>
                <wp:positionH relativeFrom="margin">
                  <wp:posOffset>4093210</wp:posOffset>
                </wp:positionH>
                <wp:positionV relativeFrom="paragraph">
                  <wp:posOffset>171450</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FCE3"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For US Customer Service contact your local distributor.</w:t>
                            </w:r>
                          </w:p>
                          <w:p w14:paraId="7EF85612"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60"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80AE6EE"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549EBA2" w14:textId="77777777" w:rsidR="00E669E1" w:rsidRPr="00D85549" w:rsidRDefault="00E669E1" w:rsidP="00E669E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54E5" id="Text Box 3" o:spid="_x0000_s1031" type="#_x0000_t202" style="position:absolute;margin-left:322.3pt;margin-top:13.5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" o:allowincell="f" filled="f" stroked="f">
                <v:path arrowok="t"/>
                <v:textbox>
                  <w:txbxContent>
                    <w:p w14:paraId="09BEFCE3"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For US Customer Service contact your local distributor.</w:t>
                      </w:r>
                    </w:p>
                    <w:p w14:paraId="7EF85612"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61"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80AE6EE" w14:textId="77777777" w:rsidR="00E669E1" w:rsidRPr="00D85549" w:rsidRDefault="00E669E1" w:rsidP="00E669E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549EBA2" w14:textId="77777777" w:rsidR="00E669E1" w:rsidRPr="00D85549" w:rsidRDefault="00E669E1" w:rsidP="00E669E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64A29">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62"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64A29">
        <w:rPr>
          <w:rFonts w:ascii="Poppins" w:hAnsi="Poppins" w:cs="Poppins"/>
          <w:noProof/>
        </w:rPr>
        <w:drawing>
          <wp:anchor distT="0" distB="0" distL="114300" distR="114300" simplePos="0" relativeHeight="251609600" behindDoc="0" locked="0" layoutInCell="1" allowOverlap="1" wp14:anchorId="5DA8C14C" wp14:editId="02335C26">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63"/>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C5523E" w:rsidSect="00F3236B">
      <w:headerReference w:type="default" r:id="rId64"/>
      <w:footerReference w:type="even" r:id="rId65"/>
      <w:footerReference w:type="default" r:id="rId66"/>
      <w:headerReference w:type="first" r:id="rId67"/>
      <w:footerReference w:type="first" r:id="rId68"/>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BF7E" w14:textId="77777777" w:rsidR="00326D79" w:rsidRDefault="00326D79">
      <w:r>
        <w:separator/>
      </w:r>
    </w:p>
  </w:endnote>
  <w:endnote w:type="continuationSeparator" w:id="0">
    <w:p w14:paraId="185E9E32" w14:textId="77777777" w:rsidR="00326D79" w:rsidRDefault="0032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Eurostile">
    <w:altName w:val="Arial"/>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78AC818"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F22A9">
      <w:rPr>
        <w:rFonts w:ascii="Eurostile" w:hAnsi="Eurostile"/>
        <w:noProof/>
        <w:sz w:val="12"/>
        <w:szCs w:val="12"/>
      </w:rPr>
      <w:t>4/20/2026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51ADAFB5" w14:textId="2D602E1B" w:rsidR="00C65856" w:rsidRPr="00C65856" w:rsidRDefault="00C65856" w:rsidP="00C65856">
                          <w:pPr>
                            <w:rPr>
                              <w:rFonts w:ascii="Poppins" w:hAnsi="Poppins" w:cs="Poppins"/>
                              <w:sz w:val="16"/>
                              <w:szCs w:val="16"/>
                            </w:rPr>
                          </w:pPr>
                          <w:proofErr w:type="spellStart"/>
                          <w:r w:rsidRPr="00C65856">
                            <w:rPr>
                              <w:rFonts w:ascii="Poppins" w:hAnsi="Poppins" w:cs="Poppins"/>
                              <w:sz w:val="16"/>
                              <w:szCs w:val="16"/>
                            </w:rPr>
                            <w:t>NTx</w:t>
                          </w:r>
                          <w:proofErr w:type="spellEnd"/>
                          <w:r w:rsidRPr="00C65856">
                            <w:rPr>
                              <w:rFonts w:ascii="Poppins" w:hAnsi="Poppins" w:cs="Poppins"/>
                              <w:sz w:val="16"/>
                              <w:szCs w:val="16"/>
                            </w:rPr>
                            <w:t xml:space="preserve"> Serum (NTx9021) </w:t>
                          </w:r>
                          <w:r w:rsidR="00B33D9F">
                            <w:rPr>
                              <w:rFonts w:ascii="Poppins" w:hAnsi="Poppins" w:cs="Poppins"/>
                              <w:sz w:val="16"/>
                              <w:szCs w:val="16"/>
                            </w:rPr>
                            <w:t>CLSI</w:t>
                          </w:r>
                        </w:p>
                        <w:p w14:paraId="6F5470E9" w14:textId="445ABA69" w:rsidR="000207C3" w:rsidRPr="000207C3" w:rsidRDefault="00C65856" w:rsidP="00C65856">
                          <w:pPr>
                            <w:rPr>
                              <w:rFonts w:ascii="Poppins" w:hAnsi="Poppins" w:cs="Poppins"/>
                              <w:sz w:val="16"/>
                              <w:szCs w:val="16"/>
                            </w:rPr>
                          </w:pPr>
                          <w:r w:rsidRPr="00C65856">
                            <w:rPr>
                              <w:rFonts w:ascii="Poppins" w:hAnsi="Poppins" w:cs="Poppins"/>
                              <w:sz w:val="16"/>
                              <w:szCs w:val="16"/>
                            </w:rPr>
                            <w:t xml:space="preserve">Revision Date: </w:t>
                          </w:r>
                          <w:r w:rsidR="00DF22A9">
                            <w:rPr>
                              <w:rFonts w:ascii="Poppins" w:hAnsi="Poppins" w:cs="Poppins"/>
                              <w:sz w:val="16"/>
                              <w:szCs w:val="16"/>
                            </w:rPr>
                            <w:fldChar w:fldCharType="begin"/>
                          </w:r>
                          <w:r w:rsidR="00DF22A9">
                            <w:rPr>
                              <w:rFonts w:ascii="Poppins" w:hAnsi="Poppins" w:cs="Poppins"/>
                              <w:sz w:val="16"/>
                              <w:szCs w:val="16"/>
                            </w:rPr>
                            <w:instrText xml:space="preserve"> DATE  \@ "yyyy-MM-dd"  \* MERGEFORMAT </w:instrText>
                          </w:r>
                          <w:r w:rsidR="00DF22A9">
                            <w:rPr>
                              <w:rFonts w:ascii="Poppins" w:hAnsi="Poppins" w:cs="Poppins"/>
                              <w:sz w:val="16"/>
                              <w:szCs w:val="16"/>
                            </w:rPr>
                            <w:fldChar w:fldCharType="separate"/>
                          </w:r>
                          <w:r w:rsidR="00DF22A9">
                            <w:rPr>
                              <w:rFonts w:ascii="Poppins" w:hAnsi="Poppins" w:cs="Poppins"/>
                              <w:noProof/>
                              <w:sz w:val="16"/>
                              <w:szCs w:val="16"/>
                            </w:rPr>
                            <w:t>2026-04-20</w:t>
                          </w:r>
                          <w:r w:rsidR="00DF22A9">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51ADAFB5" w14:textId="2D602E1B" w:rsidR="00C65856" w:rsidRPr="00C65856" w:rsidRDefault="00C65856" w:rsidP="00C65856">
                    <w:pPr>
                      <w:rPr>
                        <w:rFonts w:ascii="Poppins" w:hAnsi="Poppins" w:cs="Poppins"/>
                        <w:sz w:val="16"/>
                        <w:szCs w:val="16"/>
                      </w:rPr>
                    </w:pPr>
                    <w:proofErr w:type="spellStart"/>
                    <w:r w:rsidRPr="00C65856">
                      <w:rPr>
                        <w:rFonts w:ascii="Poppins" w:hAnsi="Poppins" w:cs="Poppins"/>
                        <w:sz w:val="16"/>
                        <w:szCs w:val="16"/>
                      </w:rPr>
                      <w:t>NTx</w:t>
                    </w:r>
                    <w:proofErr w:type="spellEnd"/>
                    <w:r w:rsidRPr="00C65856">
                      <w:rPr>
                        <w:rFonts w:ascii="Poppins" w:hAnsi="Poppins" w:cs="Poppins"/>
                        <w:sz w:val="16"/>
                        <w:szCs w:val="16"/>
                      </w:rPr>
                      <w:t xml:space="preserve"> Serum (NTx9021) </w:t>
                    </w:r>
                    <w:r w:rsidR="00B33D9F">
                      <w:rPr>
                        <w:rFonts w:ascii="Poppins" w:hAnsi="Poppins" w:cs="Poppins"/>
                        <w:sz w:val="16"/>
                        <w:szCs w:val="16"/>
                      </w:rPr>
                      <w:t>CLSI</w:t>
                    </w:r>
                  </w:p>
                  <w:p w14:paraId="6F5470E9" w14:textId="445ABA69" w:rsidR="000207C3" w:rsidRPr="000207C3" w:rsidRDefault="00C65856" w:rsidP="00C65856">
                    <w:pPr>
                      <w:rPr>
                        <w:rFonts w:ascii="Poppins" w:hAnsi="Poppins" w:cs="Poppins"/>
                        <w:sz w:val="16"/>
                        <w:szCs w:val="16"/>
                      </w:rPr>
                    </w:pPr>
                    <w:r w:rsidRPr="00C65856">
                      <w:rPr>
                        <w:rFonts w:ascii="Poppins" w:hAnsi="Poppins" w:cs="Poppins"/>
                        <w:sz w:val="16"/>
                        <w:szCs w:val="16"/>
                      </w:rPr>
                      <w:t xml:space="preserve">Revision Date: </w:t>
                    </w:r>
                    <w:r w:rsidR="00DF22A9">
                      <w:rPr>
                        <w:rFonts w:ascii="Poppins" w:hAnsi="Poppins" w:cs="Poppins"/>
                        <w:sz w:val="16"/>
                        <w:szCs w:val="16"/>
                      </w:rPr>
                      <w:fldChar w:fldCharType="begin"/>
                    </w:r>
                    <w:r w:rsidR="00DF22A9">
                      <w:rPr>
                        <w:rFonts w:ascii="Poppins" w:hAnsi="Poppins" w:cs="Poppins"/>
                        <w:sz w:val="16"/>
                        <w:szCs w:val="16"/>
                      </w:rPr>
                      <w:instrText xml:space="preserve"> DATE  \@ "yyyy-MM-dd"  \* MERGEFORMAT </w:instrText>
                    </w:r>
                    <w:r w:rsidR="00DF22A9">
                      <w:rPr>
                        <w:rFonts w:ascii="Poppins" w:hAnsi="Poppins" w:cs="Poppins"/>
                        <w:sz w:val="16"/>
                        <w:szCs w:val="16"/>
                      </w:rPr>
                      <w:fldChar w:fldCharType="separate"/>
                    </w:r>
                    <w:r w:rsidR="00DF22A9">
                      <w:rPr>
                        <w:rFonts w:ascii="Poppins" w:hAnsi="Poppins" w:cs="Poppins"/>
                        <w:noProof/>
                        <w:sz w:val="16"/>
                        <w:szCs w:val="16"/>
                      </w:rPr>
                      <w:t>2026-04-20</w:t>
                    </w:r>
                    <w:r w:rsidR="00DF22A9">
                      <w:rPr>
                        <w:rFonts w:ascii="Poppins" w:hAnsi="Poppins" w:cs="Poppins"/>
                        <w:sz w:val="16"/>
                        <w:szCs w:val="16"/>
                      </w:rPr>
                      <w:fldChar w:fldCharType="end"/>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3"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406ECBC"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78B4D9CF" w14:textId="77777777" w:rsidR="00F40D3B" w:rsidRDefault="00F40D3B"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7EA2F69D" w:rsidR="004E7FC6" w:rsidRDefault="00C65856" w:rsidP="004E7FC6">
                          <w:pPr>
                            <w:rPr>
                              <w:rFonts w:ascii="Poppins" w:hAnsi="Poppins" w:cs="Poppins"/>
                              <w:sz w:val="16"/>
                              <w:szCs w:val="16"/>
                            </w:rPr>
                          </w:pPr>
                          <w:bookmarkStart w:id="2" w:name="_Hlk213927985"/>
                          <w:proofErr w:type="spellStart"/>
                          <w:r w:rsidRPr="00C65856">
                            <w:rPr>
                              <w:rFonts w:ascii="Poppins" w:hAnsi="Poppins" w:cs="Poppins"/>
                              <w:sz w:val="16"/>
                              <w:szCs w:val="16"/>
                            </w:rPr>
                            <w:t>NTx</w:t>
                          </w:r>
                          <w:proofErr w:type="spellEnd"/>
                          <w:r w:rsidRPr="00C65856">
                            <w:rPr>
                              <w:rFonts w:ascii="Poppins" w:hAnsi="Poppins" w:cs="Poppins"/>
                              <w:sz w:val="16"/>
                              <w:szCs w:val="16"/>
                            </w:rPr>
                            <w:t xml:space="preserve"> Serum </w:t>
                          </w:r>
                          <w:r w:rsidR="004E7FC6" w:rsidRPr="00CF7286">
                            <w:rPr>
                              <w:rFonts w:ascii="Poppins" w:hAnsi="Poppins" w:cs="Poppins"/>
                              <w:sz w:val="16"/>
                              <w:szCs w:val="16"/>
                            </w:rPr>
                            <w:t>(</w:t>
                          </w:r>
                          <w:r w:rsidRPr="00C65856">
                            <w:rPr>
                              <w:rFonts w:ascii="Poppins" w:hAnsi="Poppins" w:cs="Poppins"/>
                              <w:sz w:val="16"/>
                              <w:szCs w:val="16"/>
                            </w:rPr>
                            <w:t>NTx9021</w:t>
                          </w:r>
                          <w:r w:rsidR="004E7FC6" w:rsidRPr="00CF7286">
                            <w:rPr>
                              <w:rFonts w:ascii="Poppins" w:hAnsi="Poppins" w:cs="Poppins"/>
                              <w:sz w:val="16"/>
                              <w:szCs w:val="16"/>
                            </w:rPr>
                            <w:t xml:space="preserve">) </w:t>
                          </w:r>
                          <w:r w:rsidR="00B33D9F">
                            <w:rPr>
                              <w:rFonts w:ascii="Poppins" w:hAnsi="Poppins" w:cs="Poppins"/>
                              <w:sz w:val="16"/>
                              <w:szCs w:val="16"/>
                            </w:rPr>
                            <w:t>CLSI</w:t>
                          </w:r>
                        </w:p>
                        <w:p w14:paraId="2528E3FB" w14:textId="053238F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F22A9">
                            <w:rPr>
                              <w:rFonts w:ascii="Poppins" w:hAnsi="Poppins" w:cs="Poppins"/>
                              <w:sz w:val="16"/>
                              <w:szCs w:val="16"/>
                            </w:rPr>
                            <w:fldChar w:fldCharType="begin"/>
                          </w:r>
                          <w:r w:rsidR="00DF22A9">
                            <w:rPr>
                              <w:rFonts w:ascii="Poppins" w:hAnsi="Poppins" w:cs="Poppins"/>
                              <w:sz w:val="16"/>
                              <w:szCs w:val="16"/>
                            </w:rPr>
                            <w:instrText xml:space="preserve"> DATE  \@ "yyyy-MM-dd"  \* MERGEFORMAT </w:instrText>
                          </w:r>
                          <w:r w:rsidR="00DF22A9">
                            <w:rPr>
                              <w:rFonts w:ascii="Poppins" w:hAnsi="Poppins" w:cs="Poppins"/>
                              <w:sz w:val="16"/>
                              <w:szCs w:val="16"/>
                            </w:rPr>
                            <w:fldChar w:fldCharType="separate"/>
                          </w:r>
                          <w:r w:rsidR="00DF22A9">
                            <w:rPr>
                              <w:rFonts w:ascii="Poppins" w:hAnsi="Poppins" w:cs="Poppins"/>
                              <w:noProof/>
                              <w:sz w:val="16"/>
                              <w:szCs w:val="16"/>
                            </w:rPr>
                            <w:t>2026-04-20</w:t>
                          </w:r>
                          <w:r w:rsidR="00DF22A9">
                            <w:rPr>
                              <w:rFonts w:ascii="Poppins" w:hAnsi="Poppins" w:cs="Poppins"/>
                              <w:sz w:val="16"/>
                              <w:szCs w:val="16"/>
                            </w:rPr>
                            <w:fldChar w:fldCharType="end"/>
                          </w:r>
                        </w:p>
                        <w:bookmarkEnd w:id="2"/>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7EA2F69D" w:rsidR="004E7FC6" w:rsidRDefault="00C65856" w:rsidP="004E7FC6">
                    <w:pPr>
                      <w:rPr>
                        <w:rFonts w:ascii="Poppins" w:hAnsi="Poppins" w:cs="Poppins"/>
                        <w:sz w:val="16"/>
                        <w:szCs w:val="16"/>
                      </w:rPr>
                    </w:pPr>
                    <w:bookmarkStart w:id="3" w:name="_Hlk213927985"/>
                    <w:proofErr w:type="spellStart"/>
                    <w:r w:rsidRPr="00C65856">
                      <w:rPr>
                        <w:rFonts w:ascii="Poppins" w:hAnsi="Poppins" w:cs="Poppins"/>
                        <w:sz w:val="16"/>
                        <w:szCs w:val="16"/>
                      </w:rPr>
                      <w:t>NTx</w:t>
                    </w:r>
                    <w:proofErr w:type="spellEnd"/>
                    <w:r w:rsidRPr="00C65856">
                      <w:rPr>
                        <w:rFonts w:ascii="Poppins" w:hAnsi="Poppins" w:cs="Poppins"/>
                        <w:sz w:val="16"/>
                        <w:szCs w:val="16"/>
                      </w:rPr>
                      <w:t xml:space="preserve"> Serum </w:t>
                    </w:r>
                    <w:r w:rsidR="004E7FC6" w:rsidRPr="00CF7286">
                      <w:rPr>
                        <w:rFonts w:ascii="Poppins" w:hAnsi="Poppins" w:cs="Poppins"/>
                        <w:sz w:val="16"/>
                        <w:szCs w:val="16"/>
                      </w:rPr>
                      <w:t>(</w:t>
                    </w:r>
                    <w:r w:rsidRPr="00C65856">
                      <w:rPr>
                        <w:rFonts w:ascii="Poppins" w:hAnsi="Poppins" w:cs="Poppins"/>
                        <w:sz w:val="16"/>
                        <w:szCs w:val="16"/>
                      </w:rPr>
                      <w:t>NTx9021</w:t>
                    </w:r>
                    <w:r w:rsidR="004E7FC6" w:rsidRPr="00CF7286">
                      <w:rPr>
                        <w:rFonts w:ascii="Poppins" w:hAnsi="Poppins" w:cs="Poppins"/>
                        <w:sz w:val="16"/>
                        <w:szCs w:val="16"/>
                      </w:rPr>
                      <w:t xml:space="preserve">) </w:t>
                    </w:r>
                    <w:r w:rsidR="00B33D9F">
                      <w:rPr>
                        <w:rFonts w:ascii="Poppins" w:hAnsi="Poppins" w:cs="Poppins"/>
                        <w:sz w:val="16"/>
                        <w:szCs w:val="16"/>
                      </w:rPr>
                      <w:t>CLSI</w:t>
                    </w:r>
                  </w:p>
                  <w:p w14:paraId="2528E3FB" w14:textId="053238F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F22A9">
                      <w:rPr>
                        <w:rFonts w:ascii="Poppins" w:hAnsi="Poppins" w:cs="Poppins"/>
                        <w:sz w:val="16"/>
                        <w:szCs w:val="16"/>
                      </w:rPr>
                      <w:fldChar w:fldCharType="begin"/>
                    </w:r>
                    <w:r w:rsidR="00DF22A9">
                      <w:rPr>
                        <w:rFonts w:ascii="Poppins" w:hAnsi="Poppins" w:cs="Poppins"/>
                        <w:sz w:val="16"/>
                        <w:szCs w:val="16"/>
                      </w:rPr>
                      <w:instrText xml:space="preserve"> DATE  \@ "yyyy-MM-dd"  \* MERGEFORMAT </w:instrText>
                    </w:r>
                    <w:r w:rsidR="00DF22A9">
                      <w:rPr>
                        <w:rFonts w:ascii="Poppins" w:hAnsi="Poppins" w:cs="Poppins"/>
                        <w:sz w:val="16"/>
                        <w:szCs w:val="16"/>
                      </w:rPr>
                      <w:fldChar w:fldCharType="separate"/>
                    </w:r>
                    <w:r w:rsidR="00DF22A9">
                      <w:rPr>
                        <w:rFonts w:ascii="Poppins" w:hAnsi="Poppins" w:cs="Poppins"/>
                        <w:noProof/>
                        <w:sz w:val="16"/>
                        <w:szCs w:val="16"/>
                      </w:rPr>
                      <w:t>2026-04-20</w:t>
                    </w:r>
                    <w:r w:rsidR="00DF22A9">
                      <w:rPr>
                        <w:rFonts w:ascii="Poppins" w:hAnsi="Poppins" w:cs="Poppins"/>
                        <w:sz w:val="16"/>
                        <w:szCs w:val="16"/>
                      </w:rPr>
                      <w:fldChar w:fldCharType="end"/>
                    </w:r>
                  </w:p>
                  <w:bookmarkEnd w:id="3"/>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6"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26A8" w14:textId="77777777" w:rsidR="00326D79" w:rsidRDefault="00326D79">
      <w:r>
        <w:separator/>
      </w:r>
    </w:p>
  </w:footnote>
  <w:footnote w:type="continuationSeparator" w:id="0">
    <w:p w14:paraId="32237BA8" w14:textId="77777777" w:rsidR="00326D79" w:rsidRDefault="0032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E0E5DF0" w:rsidR="006A4187" w:rsidRDefault="001D772C"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58367323" wp14:editId="6E5E279F">
          <wp:simplePos x="0" y="0"/>
          <wp:positionH relativeFrom="column">
            <wp:posOffset>-457200</wp:posOffset>
          </wp:positionH>
          <wp:positionV relativeFrom="paragraph">
            <wp:posOffset>-205740</wp:posOffset>
          </wp:positionV>
          <wp:extent cx="7772400" cy="1136355"/>
          <wp:effectExtent l="0" t="0" r="0" b="0"/>
          <wp:wrapNone/>
          <wp:docPr id="1897232051"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32051" name="Picture 2" descr="A blue line on a black background&#10;&#10;Description automatically generated"/>
                  <pic:cNvPicPr/>
                </pic:nvPicPr>
                <pic:blipFill>
                  <a:blip r:embed="rId1"/>
                  <a:stretch>
                    <a:fillRect/>
                  </a:stretch>
                </pic:blipFill>
                <pic:spPr>
                  <a:xfrm>
                    <a:off x="0" y="0"/>
                    <a:ext cx="7772400" cy="1136355"/>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5E216C71">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4"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E8F"/>
    <w:multiLevelType w:val="hybridMultilevel"/>
    <w:tmpl w:val="704C9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228F3"/>
    <w:multiLevelType w:val="hybridMultilevel"/>
    <w:tmpl w:val="411C3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3E2641"/>
    <w:multiLevelType w:val="hybridMultilevel"/>
    <w:tmpl w:val="8898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D083B46"/>
    <w:multiLevelType w:val="hybridMultilevel"/>
    <w:tmpl w:val="3B442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1118D"/>
    <w:multiLevelType w:val="hybridMultilevel"/>
    <w:tmpl w:val="92900B84"/>
    <w:lvl w:ilvl="0" w:tplc="FCA61D98">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8817C05"/>
    <w:multiLevelType w:val="hybridMultilevel"/>
    <w:tmpl w:val="1BD4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9"/>
  </w:num>
  <w:num w:numId="3" w16cid:durableId="186022744">
    <w:abstractNumId w:val="6"/>
  </w:num>
  <w:num w:numId="4" w16cid:durableId="1601185224">
    <w:abstractNumId w:val="24"/>
  </w:num>
  <w:num w:numId="5" w16cid:durableId="85880247">
    <w:abstractNumId w:val="20"/>
  </w:num>
  <w:num w:numId="6" w16cid:durableId="1047530807">
    <w:abstractNumId w:val="15"/>
  </w:num>
  <w:num w:numId="7" w16cid:durableId="1850026693">
    <w:abstractNumId w:val="7"/>
  </w:num>
  <w:num w:numId="8" w16cid:durableId="1755203621">
    <w:abstractNumId w:val="5"/>
  </w:num>
  <w:num w:numId="9" w16cid:durableId="279533795">
    <w:abstractNumId w:val="10"/>
  </w:num>
  <w:num w:numId="10" w16cid:durableId="1706295600">
    <w:abstractNumId w:val="8"/>
  </w:num>
  <w:num w:numId="11" w16cid:durableId="1871186989">
    <w:abstractNumId w:val="12"/>
  </w:num>
  <w:num w:numId="12" w16cid:durableId="1881894145">
    <w:abstractNumId w:val="3"/>
  </w:num>
  <w:num w:numId="13" w16cid:durableId="163864271">
    <w:abstractNumId w:val="4"/>
  </w:num>
  <w:num w:numId="14" w16cid:durableId="2022586536">
    <w:abstractNumId w:val="9"/>
  </w:num>
  <w:num w:numId="15" w16cid:durableId="1313288397">
    <w:abstractNumId w:val="22"/>
  </w:num>
  <w:num w:numId="16" w16cid:durableId="1174804680">
    <w:abstractNumId w:val="16"/>
  </w:num>
  <w:num w:numId="17" w16cid:durableId="895896262">
    <w:abstractNumId w:val="23"/>
  </w:num>
  <w:num w:numId="18" w16cid:durableId="1416243285">
    <w:abstractNumId w:val="2"/>
  </w:num>
  <w:num w:numId="19" w16cid:durableId="1850485512">
    <w:abstractNumId w:val="13"/>
  </w:num>
  <w:num w:numId="20" w16cid:durableId="731581336">
    <w:abstractNumId w:val="17"/>
  </w:num>
  <w:num w:numId="21" w16cid:durableId="2063015074">
    <w:abstractNumId w:val="0"/>
  </w:num>
  <w:num w:numId="22" w16cid:durableId="1107313962">
    <w:abstractNumId w:val="11"/>
  </w:num>
  <w:num w:numId="23" w16cid:durableId="873732737">
    <w:abstractNumId w:val="21"/>
  </w:num>
  <w:num w:numId="24" w16cid:durableId="1938710359">
    <w:abstractNumId w:val="1"/>
  </w:num>
  <w:num w:numId="25" w16cid:durableId="86560281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ocumentProtection w:edit="readOnly" w:enforcement="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6D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3918"/>
    <w:rsid w:val="000E6F45"/>
    <w:rsid w:val="000F103F"/>
    <w:rsid w:val="000F2F56"/>
    <w:rsid w:val="000F39AA"/>
    <w:rsid w:val="000F455F"/>
    <w:rsid w:val="000F45A6"/>
    <w:rsid w:val="000F647C"/>
    <w:rsid w:val="00100C23"/>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0639"/>
    <w:rsid w:val="00171CEF"/>
    <w:rsid w:val="00171DDA"/>
    <w:rsid w:val="00172AE4"/>
    <w:rsid w:val="00173347"/>
    <w:rsid w:val="001744C2"/>
    <w:rsid w:val="001745F1"/>
    <w:rsid w:val="0017478D"/>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D772C"/>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1B81"/>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6BDF"/>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6D79"/>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5466"/>
    <w:rsid w:val="003966AE"/>
    <w:rsid w:val="003968BD"/>
    <w:rsid w:val="00397EE2"/>
    <w:rsid w:val="003A2080"/>
    <w:rsid w:val="003A21E9"/>
    <w:rsid w:val="003A2F4D"/>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4C3"/>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EE9"/>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188E"/>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36E8A"/>
    <w:rsid w:val="00740AB0"/>
    <w:rsid w:val="00740F32"/>
    <w:rsid w:val="00741551"/>
    <w:rsid w:val="00742F52"/>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981"/>
    <w:rsid w:val="00784A0F"/>
    <w:rsid w:val="00786D7F"/>
    <w:rsid w:val="0079012A"/>
    <w:rsid w:val="00790BE4"/>
    <w:rsid w:val="00790D09"/>
    <w:rsid w:val="007935F0"/>
    <w:rsid w:val="007957A7"/>
    <w:rsid w:val="007A0525"/>
    <w:rsid w:val="007A10D1"/>
    <w:rsid w:val="007A21C6"/>
    <w:rsid w:val="007A23DF"/>
    <w:rsid w:val="007A3725"/>
    <w:rsid w:val="007B00C6"/>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377E"/>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0E45"/>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A84"/>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405E"/>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14C"/>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859EC"/>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3EA7"/>
    <w:rsid w:val="00B140D9"/>
    <w:rsid w:val="00B16E09"/>
    <w:rsid w:val="00B17B9F"/>
    <w:rsid w:val="00B2226F"/>
    <w:rsid w:val="00B2228A"/>
    <w:rsid w:val="00B237A6"/>
    <w:rsid w:val="00B24019"/>
    <w:rsid w:val="00B249C0"/>
    <w:rsid w:val="00B25425"/>
    <w:rsid w:val="00B25722"/>
    <w:rsid w:val="00B270DB"/>
    <w:rsid w:val="00B30680"/>
    <w:rsid w:val="00B307DE"/>
    <w:rsid w:val="00B3218C"/>
    <w:rsid w:val="00B3331D"/>
    <w:rsid w:val="00B333E2"/>
    <w:rsid w:val="00B33C63"/>
    <w:rsid w:val="00B33D9F"/>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65856"/>
    <w:rsid w:val="00C70F25"/>
    <w:rsid w:val="00C732A1"/>
    <w:rsid w:val="00C73B32"/>
    <w:rsid w:val="00C73C50"/>
    <w:rsid w:val="00C74672"/>
    <w:rsid w:val="00C74B80"/>
    <w:rsid w:val="00C774FD"/>
    <w:rsid w:val="00C77BE8"/>
    <w:rsid w:val="00C82473"/>
    <w:rsid w:val="00C84724"/>
    <w:rsid w:val="00C85190"/>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22A9"/>
    <w:rsid w:val="00DF7E97"/>
    <w:rsid w:val="00E0043F"/>
    <w:rsid w:val="00E03624"/>
    <w:rsid w:val="00E037EF"/>
    <w:rsid w:val="00E03D64"/>
    <w:rsid w:val="00E04890"/>
    <w:rsid w:val="00E11E24"/>
    <w:rsid w:val="00E13836"/>
    <w:rsid w:val="00E13D95"/>
    <w:rsid w:val="00E142F2"/>
    <w:rsid w:val="00E1536A"/>
    <w:rsid w:val="00E166EF"/>
    <w:rsid w:val="00E17261"/>
    <w:rsid w:val="00E23583"/>
    <w:rsid w:val="00E23599"/>
    <w:rsid w:val="00E250B9"/>
    <w:rsid w:val="00E26A4A"/>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69E1"/>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AA"/>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0D3B"/>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A59"/>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tiff"/><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emf"/><Relationship Id="rId47" Type="http://schemas.openxmlformats.org/officeDocument/2006/relationships/image" Target="media/image40.png"/><Relationship Id="rId50" Type="http://schemas.openxmlformats.org/officeDocument/2006/relationships/image" Target="media/image43.jpeg"/><Relationship Id="rId63" Type="http://schemas.openxmlformats.org/officeDocument/2006/relationships/image" Target="media/image45.jpeg"/><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tiff"/><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support@zeusscientific.com"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tiff"/><Relationship Id="rId48" Type="http://schemas.openxmlformats.org/officeDocument/2006/relationships/image" Target="media/image41.png"/><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tiff"/><Relationship Id="rId46" Type="http://schemas.openxmlformats.org/officeDocument/2006/relationships/image" Target="media/image39.png"/><Relationship Id="rId59" Type="http://schemas.openxmlformats.org/officeDocument/2006/relationships/hyperlink" Target="http://www.zeusscientific.com" TargetMode="External"/><Relationship Id="rId67"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44.jpe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jpeg"/><Relationship Id="rId10" Type="http://schemas.openxmlformats.org/officeDocument/2006/relationships/image" Target="media/image3.tiff"/><Relationship Id="rId31" Type="http://schemas.openxmlformats.org/officeDocument/2006/relationships/image" Target="media/image24.tiff"/><Relationship Id="rId44" Type="http://schemas.openxmlformats.org/officeDocument/2006/relationships/image" Target="media/image37.png"/><Relationship Id="rId60" Type="http://schemas.openxmlformats.org/officeDocument/2006/relationships/hyperlink" Target="mailto:support@zeusscientific.co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6.png"/></Relationships>
</file>

<file path=word/_rels/footer3.xml.rels><?xml version="1.0" encoding="UTF-8" standalone="yes"?>
<Relationships xmlns="http://schemas.openxmlformats.org/package/2006/relationships"><Relationship Id="rId1" Type="http://schemas.openxmlformats.org/officeDocument/2006/relationships/image" Target="media/image46.png"/></Relationships>
</file>

<file path=word/_rels/header2.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2474</Words>
  <Characters>13264</Characters>
  <Application>Microsoft Office Word</Application>
  <DocSecurity>0</DocSecurity>
  <Lines>358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2026-04-20T14:48:00Z</dcterms:created>
  <dcterms:modified xsi:type="dcterms:W3CDTF">2026-04-20T14:56:00Z</dcterms:modified>
</cp:coreProperties>
</file>